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bidi w:val="0"/>
        <w:adjustRightInd/>
        <w:spacing w:before="0" w:after="0" w:line="360" w:lineRule="auto"/>
        <w:ind w:left="0" w:leftChars="0"/>
        <w:outlineLvl w:val="9"/>
        <w:rPr>
          <w:rFonts w:hint="eastAsia"/>
          <w:b/>
          <w:bCs/>
          <w:color w:val="auto"/>
          <w:highlight w:val="none"/>
        </w:rPr>
      </w:pPr>
    </w:p>
    <w:p>
      <w:pPr>
        <w:keepNext w:val="0"/>
        <w:keepLines w:val="0"/>
        <w:pageBreakBefore w:val="0"/>
        <w:kinsoku/>
        <w:overflowPunct/>
        <w:topLinePunct w:val="0"/>
        <w:bidi w:val="0"/>
        <w:adjustRightInd/>
        <w:spacing w:before="0" w:after="0" w:line="360" w:lineRule="auto"/>
        <w:ind w:left="0" w:leftChars="0"/>
        <w:jc w:val="center"/>
        <w:rPr>
          <w:rFonts w:ascii="Times New Roman" w:hAnsi="Times New Roman" w:eastAsia="黑体" w:cs="Times New Roman"/>
          <w:color w:val="auto"/>
          <w:sz w:val="48"/>
          <w:szCs w:val="52"/>
          <w:highlight w:val="none"/>
        </w:rPr>
      </w:pPr>
    </w:p>
    <w:p>
      <w:pPr>
        <w:keepNext w:val="0"/>
        <w:keepLines w:val="0"/>
        <w:pageBreakBefore w:val="0"/>
        <w:kinsoku/>
        <w:overflowPunct/>
        <w:topLinePunct w:val="0"/>
        <w:bidi w:val="0"/>
        <w:adjustRightInd/>
        <w:spacing w:before="0" w:after="0" w:line="360" w:lineRule="auto"/>
        <w:ind w:left="0" w:leftChars="0"/>
        <w:jc w:val="center"/>
        <w:rPr>
          <w:rFonts w:ascii="Times New Roman" w:hAnsi="Times New Roman" w:eastAsia="黑体" w:cs="Times New Roman"/>
          <w:color w:val="auto"/>
          <w:sz w:val="48"/>
          <w:szCs w:val="52"/>
          <w:highlight w:val="none"/>
        </w:rPr>
      </w:pPr>
    </w:p>
    <w:p>
      <w:pPr>
        <w:keepNext w:val="0"/>
        <w:keepLines w:val="0"/>
        <w:pageBreakBefore w:val="0"/>
        <w:kinsoku/>
        <w:overflowPunct/>
        <w:topLinePunct w:val="0"/>
        <w:bidi w:val="0"/>
        <w:adjustRightInd/>
        <w:spacing w:before="0" w:after="0" w:line="360" w:lineRule="auto"/>
        <w:ind w:left="0" w:leftChars="0"/>
        <w:jc w:val="center"/>
        <w:rPr>
          <w:rFonts w:ascii="Times New Roman" w:hAnsi="Times New Roman" w:eastAsia="黑体" w:cs="Times New Roman"/>
          <w:color w:val="auto"/>
          <w:sz w:val="48"/>
          <w:szCs w:val="52"/>
          <w:highlight w:val="none"/>
        </w:rPr>
      </w:pPr>
    </w:p>
    <w:p>
      <w:pPr>
        <w:keepNext w:val="0"/>
        <w:keepLines w:val="0"/>
        <w:pageBreakBefore w:val="0"/>
        <w:kinsoku/>
        <w:overflowPunct/>
        <w:topLinePunct w:val="0"/>
        <w:bidi w:val="0"/>
        <w:adjustRightInd/>
        <w:spacing w:before="0" w:after="0" w:line="360" w:lineRule="auto"/>
        <w:ind w:left="0" w:leftChars="0"/>
        <w:jc w:val="center"/>
        <w:rPr>
          <w:rFonts w:ascii="Times New Roman" w:hAnsi="Times New Roman" w:eastAsia="黑体" w:cs="Times New Roman"/>
          <w:color w:val="auto"/>
          <w:sz w:val="48"/>
          <w:szCs w:val="52"/>
          <w:highlight w:val="none"/>
        </w:rPr>
      </w:pPr>
      <w:r>
        <w:rPr>
          <w:rFonts w:hint="eastAsia" w:ascii="黑体" w:hAnsi="黑体" w:eastAsia="黑体"/>
          <w:color w:val="auto"/>
          <w:sz w:val="48"/>
          <w:szCs w:val="52"/>
          <w:highlight w:val="none"/>
        </w:rPr>
        <w:t>部门</w:t>
      </w:r>
      <w:r>
        <w:rPr>
          <w:rFonts w:hint="eastAsia" w:ascii="Times New Roman" w:hAnsi="Times New Roman" w:eastAsia="黑体" w:cs="Times New Roman"/>
          <w:color w:val="auto"/>
          <w:sz w:val="48"/>
          <w:szCs w:val="52"/>
          <w:highlight w:val="none"/>
        </w:rPr>
        <w:t>整体支出绩效自评</w:t>
      </w:r>
      <w:r>
        <w:rPr>
          <w:rFonts w:ascii="Times New Roman" w:hAnsi="Times New Roman" w:eastAsia="黑体" w:cs="Times New Roman"/>
          <w:color w:val="auto"/>
          <w:sz w:val="48"/>
          <w:szCs w:val="52"/>
          <w:highlight w:val="none"/>
        </w:rPr>
        <w:t>报告</w:t>
      </w:r>
    </w:p>
    <w:p>
      <w:pPr>
        <w:keepNext w:val="0"/>
        <w:keepLines w:val="0"/>
        <w:pageBreakBefore w:val="0"/>
        <w:widowControl/>
        <w:kinsoku/>
        <w:overflowPunct/>
        <w:topLinePunct w:val="0"/>
        <w:bidi w:val="0"/>
        <w:adjustRightInd/>
        <w:spacing w:before="0" w:after="0" w:line="360" w:lineRule="auto"/>
        <w:ind w:left="0" w:leftChars="0"/>
        <w:jc w:val="center"/>
        <w:rPr>
          <w:rFonts w:hint="eastAsia" w:ascii="Times New Roman" w:hAnsi="Times New Roman" w:eastAsia="黑体" w:cs="Times New Roman"/>
          <w:color w:val="auto"/>
          <w:sz w:val="48"/>
          <w:szCs w:val="52"/>
          <w:highlight w:val="none"/>
          <w:lang w:eastAsia="zh-CN"/>
        </w:rPr>
      </w:pPr>
      <w:r>
        <w:rPr>
          <w:rFonts w:hint="eastAsia" w:ascii="Times New Roman" w:hAnsi="Times New Roman" w:eastAsia="黑体" w:cs="Times New Roman"/>
          <w:color w:val="auto"/>
          <w:sz w:val="36"/>
          <w:szCs w:val="40"/>
          <w:highlight w:val="none"/>
          <w:lang w:eastAsia="zh-CN"/>
        </w:rPr>
        <w:t>（</w:t>
      </w:r>
      <w:r>
        <w:rPr>
          <w:rFonts w:hint="eastAsia" w:ascii="Times New Roman" w:hAnsi="Times New Roman" w:eastAsia="黑体" w:cs="Times New Roman"/>
          <w:color w:val="auto"/>
          <w:sz w:val="36"/>
          <w:szCs w:val="40"/>
          <w:highlight w:val="none"/>
          <w:lang w:val="en-US" w:eastAsia="zh-CN"/>
        </w:rPr>
        <w:t>202</w:t>
      </w:r>
      <w:r>
        <w:rPr>
          <w:rFonts w:hint="default" w:ascii="Times New Roman" w:hAnsi="Times New Roman" w:eastAsia="黑体" w:cs="Times New Roman"/>
          <w:color w:val="auto"/>
          <w:sz w:val="36"/>
          <w:szCs w:val="40"/>
          <w:highlight w:val="none"/>
          <w:lang w:val="en-US" w:eastAsia="zh-CN"/>
        </w:rPr>
        <w:t>5</w:t>
      </w:r>
      <w:r>
        <w:rPr>
          <w:rFonts w:hint="eastAsia" w:ascii="Times New Roman" w:hAnsi="Times New Roman" w:eastAsia="黑体" w:cs="Times New Roman"/>
          <w:color w:val="auto"/>
          <w:sz w:val="36"/>
          <w:szCs w:val="40"/>
          <w:highlight w:val="none"/>
          <w:lang w:val="en-US" w:eastAsia="zh-CN"/>
        </w:rPr>
        <w:t>年度</w:t>
      </w:r>
      <w:r>
        <w:rPr>
          <w:rFonts w:hint="eastAsia" w:ascii="Times New Roman" w:hAnsi="Times New Roman" w:eastAsia="黑体" w:cs="Times New Roman"/>
          <w:color w:val="auto"/>
          <w:sz w:val="36"/>
          <w:szCs w:val="40"/>
          <w:highlight w:val="none"/>
          <w:lang w:eastAsia="zh-CN"/>
        </w:rPr>
        <w:t>）</w:t>
      </w:r>
    </w:p>
    <w:p>
      <w:pPr>
        <w:keepNext w:val="0"/>
        <w:keepLines w:val="0"/>
        <w:pageBreakBefore w:val="0"/>
        <w:widowControl/>
        <w:kinsoku/>
        <w:overflowPunct/>
        <w:topLinePunct w:val="0"/>
        <w:bidi w:val="0"/>
        <w:adjustRightInd/>
        <w:spacing w:before="0" w:after="0" w:line="360" w:lineRule="auto"/>
        <w:ind w:left="0" w:leftChars="0"/>
        <w:jc w:val="center"/>
        <w:rPr>
          <w:rFonts w:ascii="Times New Roman" w:hAnsi="Times New Roman" w:eastAsia="黑体" w:cs="Times New Roman"/>
          <w:color w:val="auto"/>
          <w:sz w:val="48"/>
          <w:szCs w:val="52"/>
          <w:highlight w:val="none"/>
        </w:rPr>
      </w:pPr>
    </w:p>
    <w:p>
      <w:pPr>
        <w:keepNext w:val="0"/>
        <w:keepLines w:val="0"/>
        <w:pageBreakBefore w:val="0"/>
        <w:widowControl/>
        <w:kinsoku/>
        <w:overflowPunct/>
        <w:topLinePunct w:val="0"/>
        <w:bidi w:val="0"/>
        <w:adjustRightInd/>
        <w:spacing w:before="0" w:after="0" w:line="360" w:lineRule="auto"/>
        <w:ind w:left="0" w:leftChars="0"/>
        <w:jc w:val="center"/>
        <w:rPr>
          <w:rFonts w:ascii="Times New Roman" w:hAnsi="Times New Roman" w:eastAsia="黑体" w:cs="Times New Roman"/>
          <w:color w:val="auto"/>
          <w:sz w:val="48"/>
          <w:szCs w:val="52"/>
          <w:highlight w:val="none"/>
        </w:rPr>
      </w:pPr>
    </w:p>
    <w:p>
      <w:pPr>
        <w:keepNext w:val="0"/>
        <w:keepLines w:val="0"/>
        <w:pageBreakBefore w:val="0"/>
        <w:widowControl/>
        <w:kinsoku/>
        <w:overflowPunct/>
        <w:topLinePunct w:val="0"/>
        <w:bidi w:val="0"/>
        <w:adjustRightInd/>
        <w:spacing w:before="0" w:after="0" w:line="360" w:lineRule="auto"/>
        <w:ind w:left="0" w:leftChars="0"/>
        <w:jc w:val="center"/>
        <w:rPr>
          <w:rFonts w:ascii="Times New Roman" w:hAnsi="Times New Roman" w:eastAsia="黑体" w:cs="Times New Roman"/>
          <w:color w:val="auto"/>
          <w:sz w:val="48"/>
          <w:szCs w:val="52"/>
          <w:highlight w:val="none"/>
        </w:rPr>
      </w:pPr>
    </w:p>
    <w:p>
      <w:pPr>
        <w:keepNext w:val="0"/>
        <w:keepLines w:val="0"/>
        <w:pageBreakBefore w:val="0"/>
        <w:widowControl/>
        <w:kinsoku/>
        <w:overflowPunct/>
        <w:topLinePunct w:val="0"/>
        <w:bidi w:val="0"/>
        <w:adjustRightInd/>
        <w:spacing w:before="0" w:after="0" w:line="360" w:lineRule="auto"/>
        <w:ind w:left="0" w:leftChars="0"/>
        <w:jc w:val="center"/>
        <w:rPr>
          <w:rFonts w:ascii="Times New Roman" w:hAnsi="Times New Roman" w:eastAsia="黑体" w:cs="Times New Roman"/>
          <w:color w:val="auto"/>
          <w:sz w:val="48"/>
          <w:szCs w:val="52"/>
          <w:highlight w:val="none"/>
        </w:rPr>
      </w:pPr>
    </w:p>
    <w:p>
      <w:pPr>
        <w:keepNext w:val="0"/>
        <w:keepLines w:val="0"/>
        <w:pageBreakBefore w:val="0"/>
        <w:widowControl/>
        <w:kinsoku/>
        <w:overflowPunct/>
        <w:topLinePunct w:val="0"/>
        <w:bidi w:val="0"/>
        <w:adjustRightInd/>
        <w:spacing w:before="0" w:after="0" w:line="360" w:lineRule="auto"/>
        <w:ind w:left="0" w:leftChars="0"/>
        <w:jc w:val="center"/>
        <w:rPr>
          <w:rFonts w:ascii="Times New Roman" w:hAnsi="Times New Roman" w:eastAsia="黑体" w:cs="Times New Roman"/>
          <w:color w:val="auto"/>
          <w:sz w:val="48"/>
          <w:szCs w:val="52"/>
          <w:highlight w:val="none"/>
        </w:rPr>
      </w:pPr>
    </w:p>
    <w:p>
      <w:pPr>
        <w:keepNext w:val="0"/>
        <w:keepLines w:val="0"/>
        <w:pageBreakBefore w:val="0"/>
        <w:widowControl/>
        <w:kinsoku/>
        <w:overflowPunct/>
        <w:topLinePunct w:val="0"/>
        <w:bidi w:val="0"/>
        <w:adjustRightInd/>
        <w:spacing w:before="0" w:after="0" w:line="360" w:lineRule="auto"/>
        <w:ind w:left="0" w:leftChars="0"/>
        <w:jc w:val="center"/>
        <w:rPr>
          <w:rFonts w:ascii="Times New Roman" w:hAnsi="Times New Roman" w:eastAsia="黑体" w:cs="Times New Roman"/>
          <w:color w:val="auto"/>
          <w:sz w:val="48"/>
          <w:szCs w:val="52"/>
          <w:highlight w:val="none"/>
        </w:rPr>
      </w:pPr>
    </w:p>
    <w:p>
      <w:pPr>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jc w:val="center"/>
        <w:textAlignment w:val="auto"/>
        <w:outlineLvl w:val="9"/>
        <w:rPr>
          <w:rFonts w:hint="eastAsia" w:ascii="Times New Roman" w:hAnsi="Times New Roman" w:eastAsia="黑体" w:cs="Times New Roman"/>
          <w:color w:val="auto"/>
          <w:sz w:val="40"/>
          <w:szCs w:val="44"/>
          <w:highlight w:val="none"/>
          <w:lang w:eastAsia="zh-CN"/>
        </w:rPr>
      </w:pPr>
      <w:bookmarkStart w:id="0" w:name="_Toc13985"/>
      <w:r>
        <w:rPr>
          <w:rFonts w:hint="eastAsia" w:ascii="Times New Roman" w:hAnsi="Times New Roman" w:eastAsia="黑体" w:cs="Times New Roman"/>
          <w:color w:val="auto"/>
          <w:sz w:val="40"/>
          <w:szCs w:val="44"/>
          <w:highlight w:val="none"/>
          <w:lang w:eastAsia="zh-CN"/>
        </w:rPr>
        <w:t>南昌市民政局部门</w:t>
      </w:r>
    </w:p>
    <w:p>
      <w:pPr>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jc w:val="center"/>
        <w:textAlignment w:val="auto"/>
        <w:outlineLvl w:val="9"/>
        <w:rPr>
          <w:rFonts w:hint="eastAsia"/>
          <w:b/>
          <w:bCs/>
          <w:color w:val="auto"/>
          <w:highlight w:val="none"/>
        </w:rPr>
      </w:pPr>
      <w:r>
        <w:rPr>
          <w:rFonts w:hint="eastAsia" w:ascii="Times New Roman" w:hAnsi="Times New Roman" w:eastAsia="黑体" w:cs="Times New Roman"/>
          <w:color w:val="auto"/>
          <w:sz w:val="40"/>
          <w:szCs w:val="44"/>
          <w:highlight w:val="none"/>
          <w:lang w:eastAsia="zh-CN"/>
        </w:rPr>
        <w:t>二〇二六</w:t>
      </w:r>
      <w:r>
        <w:rPr>
          <w:rFonts w:hint="eastAsia" w:ascii="Times New Roman" w:hAnsi="Times New Roman" w:eastAsia="黑体" w:cs="Times New Roman"/>
          <w:color w:val="auto"/>
          <w:sz w:val="40"/>
          <w:szCs w:val="44"/>
          <w:highlight w:val="none"/>
        </w:rPr>
        <w:t>年</w:t>
      </w:r>
      <w:r>
        <w:rPr>
          <w:rFonts w:hint="default" w:ascii="Times New Roman" w:hAnsi="Times New Roman" w:eastAsia="黑体" w:cs="Times New Roman"/>
          <w:color w:val="auto"/>
          <w:sz w:val="40"/>
          <w:szCs w:val="44"/>
          <w:highlight w:val="none"/>
          <w:lang w:val="en-US" w:eastAsia="zh-CN"/>
        </w:rPr>
        <w:t>三</w:t>
      </w:r>
      <w:r>
        <w:rPr>
          <w:rFonts w:hint="eastAsia" w:ascii="Times New Roman" w:hAnsi="Times New Roman" w:eastAsia="黑体" w:cs="Times New Roman"/>
          <w:color w:val="auto"/>
          <w:sz w:val="40"/>
          <w:szCs w:val="44"/>
          <w:highlight w:val="none"/>
          <w:lang w:eastAsia="zh-CN"/>
        </w:rPr>
        <w:t>月</w:t>
      </w:r>
      <w:bookmarkEnd w:id="0"/>
    </w:p>
    <w:p>
      <w:pPr>
        <w:pStyle w:val="2"/>
        <w:keepNext w:val="0"/>
        <w:keepLines w:val="0"/>
        <w:pageBreakBefore w:val="0"/>
        <w:kinsoku/>
        <w:wordWrap/>
        <w:overflowPunct/>
        <w:topLinePunct w:val="0"/>
        <w:bidi w:val="0"/>
        <w:adjustRightInd/>
        <w:spacing w:before="0" w:after="0" w:line="360" w:lineRule="auto"/>
        <w:ind w:left="0" w:leftChars="0"/>
        <w:outlineLvl w:val="9"/>
        <w:rPr>
          <w:rFonts w:hint="eastAsia"/>
          <w:b/>
          <w:bCs/>
          <w:color w:val="auto"/>
          <w:highlight w:val="none"/>
        </w:rPr>
      </w:pPr>
    </w:p>
    <w:p>
      <w:pPr>
        <w:pStyle w:val="2"/>
        <w:keepNext w:val="0"/>
        <w:keepLines w:val="0"/>
        <w:pageBreakBefore w:val="0"/>
        <w:kinsoku/>
        <w:wordWrap/>
        <w:overflowPunct/>
        <w:topLinePunct w:val="0"/>
        <w:bidi w:val="0"/>
        <w:adjustRightInd/>
        <w:spacing w:before="0" w:after="0" w:line="360" w:lineRule="auto"/>
        <w:ind w:left="0" w:leftChars="0"/>
        <w:outlineLvl w:val="9"/>
        <w:rPr>
          <w:rFonts w:hint="eastAsia"/>
          <w:b/>
          <w:bCs/>
          <w:color w:val="auto"/>
          <w:highlight w:val="none"/>
        </w:rPr>
      </w:pPr>
    </w:p>
    <w:p>
      <w:pPr>
        <w:pStyle w:val="2"/>
        <w:keepNext w:val="0"/>
        <w:keepLines w:val="0"/>
        <w:pageBreakBefore w:val="0"/>
        <w:kinsoku/>
        <w:wordWrap/>
        <w:overflowPunct/>
        <w:topLinePunct w:val="0"/>
        <w:bidi w:val="0"/>
        <w:adjustRightInd/>
        <w:spacing w:before="0" w:after="0" w:line="360" w:lineRule="auto"/>
        <w:ind w:left="0" w:leftChars="0"/>
        <w:outlineLvl w:val="9"/>
        <w:rPr>
          <w:rFonts w:hint="eastAsia"/>
          <w:b/>
          <w:bCs/>
          <w:color w:val="auto"/>
          <w:highlight w:val="none"/>
        </w:rPr>
      </w:pPr>
    </w:p>
    <w:p>
      <w:pPr>
        <w:pStyle w:val="2"/>
        <w:keepNext w:val="0"/>
        <w:keepLines w:val="0"/>
        <w:pageBreakBefore w:val="0"/>
        <w:kinsoku/>
        <w:wordWrap/>
        <w:overflowPunct/>
        <w:topLinePunct w:val="0"/>
        <w:bidi w:val="0"/>
        <w:adjustRightInd/>
        <w:spacing w:before="0" w:after="0" w:line="360" w:lineRule="auto"/>
        <w:ind w:left="0" w:leftChars="0"/>
        <w:outlineLvl w:val="9"/>
        <w:rPr>
          <w:rFonts w:hint="eastAsia"/>
          <w:b/>
          <w:bCs/>
          <w:color w:val="auto"/>
          <w:highlight w:val="none"/>
        </w:rPr>
      </w:pPr>
    </w:p>
    <w:p>
      <w:pPr>
        <w:pStyle w:val="2"/>
        <w:keepNext w:val="0"/>
        <w:keepLines w:val="0"/>
        <w:pageBreakBefore w:val="0"/>
        <w:kinsoku/>
        <w:wordWrap/>
        <w:overflowPunct/>
        <w:topLinePunct w:val="0"/>
        <w:bidi w:val="0"/>
        <w:adjustRightInd/>
        <w:spacing w:before="0" w:after="0" w:line="360" w:lineRule="auto"/>
        <w:ind w:left="0" w:leftChars="0"/>
        <w:outlineLvl w:val="9"/>
        <w:rPr>
          <w:rFonts w:hint="eastAsia"/>
          <w:b/>
          <w:bCs/>
          <w:color w:val="auto"/>
          <w:highlight w:val="none"/>
        </w:rPr>
      </w:pPr>
    </w:p>
    <w:p>
      <w:pPr>
        <w:pStyle w:val="2"/>
        <w:keepNext w:val="0"/>
        <w:keepLines w:val="0"/>
        <w:pageBreakBefore w:val="0"/>
        <w:kinsoku/>
        <w:wordWrap/>
        <w:overflowPunct/>
        <w:topLinePunct w:val="0"/>
        <w:bidi w:val="0"/>
        <w:adjustRightInd/>
        <w:spacing w:before="0" w:after="0" w:line="360" w:lineRule="auto"/>
        <w:ind w:left="0" w:leftChars="0"/>
        <w:outlineLvl w:val="9"/>
        <w:rPr>
          <w:rFonts w:hint="eastAsia"/>
          <w:b/>
          <w:bCs/>
          <w:color w:val="auto"/>
          <w:highlight w:val="none"/>
        </w:rPr>
      </w:pPr>
    </w:p>
    <w:p>
      <w:pPr>
        <w:keepNext w:val="0"/>
        <w:keepLines w:val="0"/>
        <w:pageBreakBefore w:val="0"/>
        <w:kinsoku/>
        <w:overflowPunct/>
        <w:topLinePunct w:val="0"/>
        <w:bidi w:val="0"/>
        <w:adjustRightInd/>
        <w:spacing w:before="0" w:after="0" w:line="360" w:lineRule="auto"/>
        <w:ind w:left="0" w:leftChars="0"/>
        <w:rPr>
          <w:rFonts w:hint="eastAsia"/>
          <w:color w:val="auto"/>
          <w:highlight w:val="none"/>
        </w:rPr>
      </w:pPr>
    </w:p>
    <w:sdt>
      <w:sdtPr>
        <w:rPr>
          <w:rFonts w:ascii="宋体" w:hAnsi="宋体" w:eastAsia="宋体" w:cs="宋体"/>
          <w:color w:val="auto"/>
          <w:sz w:val="21"/>
          <w:szCs w:val="22"/>
          <w:highlight w:val="none"/>
          <w:lang w:val="zh-CN" w:eastAsia="zh-CN" w:bidi="zh-CN"/>
        </w:rPr>
        <w:id w:val="147477341"/>
        <w15:color w:val="DBDBDB"/>
        <w:docPartObj>
          <w:docPartGallery w:val="Table of Contents"/>
          <w:docPartUnique/>
        </w:docPartObj>
      </w:sdtPr>
      <w:sdtEndPr>
        <w:rPr>
          <w:rFonts w:hint="eastAsia" w:ascii="宋体" w:hAnsi="宋体" w:eastAsia="宋体" w:cs="宋体"/>
          <w:bCs/>
          <w:color w:val="auto"/>
          <w:sz w:val="44"/>
          <w:szCs w:val="44"/>
          <w:highlight w:val="none"/>
          <w:lang w:val="zh-CN" w:eastAsia="zh-CN" w:bidi="zh-CN"/>
        </w:rPr>
      </w:sdtEndPr>
      <w:sdtContent>
        <w:p>
          <w:pPr>
            <w:keepNext w:val="0"/>
            <w:keepLines w:val="0"/>
            <w:pageBreakBefore w:val="0"/>
            <w:kinsoku/>
            <w:overflowPunct/>
            <w:topLinePunct w:val="0"/>
            <w:bidi w:val="0"/>
            <w:adjustRightInd/>
            <w:spacing w:before="0" w:after="0" w:line="360" w:lineRule="auto"/>
            <w:ind w:left="0" w:leftChars="0" w:right="0" w:rightChars="0" w:firstLine="0" w:firstLineChars="0"/>
            <w:jc w:val="center"/>
            <w:rPr>
              <w:rFonts w:hint="eastAsia" w:ascii="黑体" w:hAnsi="黑体" w:eastAsia="黑体" w:cs="黑体"/>
              <w:b/>
              <w:bCs/>
              <w:color w:val="auto"/>
              <w:sz w:val="44"/>
              <w:szCs w:val="44"/>
              <w:highlight w:val="none"/>
            </w:rPr>
          </w:pPr>
          <w:r>
            <w:rPr>
              <w:rFonts w:hint="eastAsia" w:ascii="黑体" w:hAnsi="黑体" w:eastAsia="黑体" w:cs="黑体"/>
              <w:b/>
              <w:bCs/>
              <w:color w:val="auto"/>
              <w:sz w:val="44"/>
              <w:szCs w:val="44"/>
              <w:highlight w:val="none"/>
            </w:rPr>
            <w:t>目录</w:t>
          </w:r>
        </w:p>
        <w:p>
          <w:pPr>
            <w:keepNext w:val="0"/>
            <w:keepLines w:val="0"/>
            <w:pageBreakBefore w:val="0"/>
            <w:kinsoku/>
            <w:overflowPunct/>
            <w:topLinePunct w:val="0"/>
            <w:bidi w:val="0"/>
            <w:adjustRightInd/>
            <w:spacing w:before="0" w:after="0" w:line="360" w:lineRule="auto"/>
            <w:ind w:left="0" w:leftChars="0" w:right="0" w:rightChars="0" w:firstLine="0" w:firstLineChars="0"/>
            <w:jc w:val="center"/>
            <w:rPr>
              <w:rFonts w:hint="eastAsia" w:ascii="黑体" w:hAnsi="黑体" w:eastAsia="黑体" w:cs="黑体"/>
              <w:b/>
              <w:bCs/>
              <w:color w:val="auto"/>
              <w:sz w:val="44"/>
              <w:szCs w:val="44"/>
              <w:highlight w:val="none"/>
            </w:rPr>
          </w:pPr>
        </w:p>
        <w:p>
          <w:pPr>
            <w:pStyle w:val="9"/>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b/>
              <w:bCs w:val="0"/>
              <w:color w:val="auto"/>
              <w:highlight w:val="none"/>
            </w:rPr>
          </w:pPr>
          <w:r>
            <w:rPr>
              <w:rFonts w:hint="eastAsia"/>
              <w:b/>
              <w:bCs/>
              <w:color w:val="auto"/>
              <w:highlight w:val="none"/>
            </w:rPr>
            <w:fldChar w:fldCharType="begin"/>
          </w:r>
          <w:r>
            <w:rPr>
              <w:rFonts w:hint="eastAsia"/>
              <w:b/>
              <w:bCs/>
              <w:color w:val="auto"/>
              <w:highlight w:val="none"/>
            </w:rPr>
            <w:instrText xml:space="preserve">TOC \o "1-2" \h \u </w:instrText>
          </w:r>
          <w:r>
            <w:rPr>
              <w:rFonts w:hint="eastAsia"/>
              <w:b/>
              <w:bCs/>
              <w:color w:val="auto"/>
              <w:highlight w:val="none"/>
            </w:rPr>
            <w:fldChar w:fldCharType="separate"/>
          </w:r>
          <w:r>
            <w:rPr>
              <w:rFonts w:hint="eastAsia" w:ascii="仿宋" w:hAnsi="仿宋" w:eastAsia="仿宋" w:cs="仿宋"/>
              <w:b/>
              <w:bCs w:val="0"/>
              <w:color w:val="auto"/>
              <w:sz w:val="32"/>
              <w:szCs w:val="32"/>
              <w:highlight w:val="none"/>
            </w:rPr>
            <w:fldChar w:fldCharType="begin"/>
          </w:r>
          <w:r>
            <w:rPr>
              <w:rFonts w:hint="eastAsia" w:ascii="仿宋" w:hAnsi="仿宋" w:eastAsia="仿宋" w:cs="仿宋"/>
              <w:b/>
              <w:bCs w:val="0"/>
              <w:color w:val="auto"/>
              <w:sz w:val="32"/>
              <w:szCs w:val="32"/>
              <w:highlight w:val="none"/>
            </w:rPr>
            <w:instrText xml:space="preserve"> HYPERLINK \l _Toc9869 </w:instrText>
          </w:r>
          <w:r>
            <w:rPr>
              <w:rFonts w:hint="eastAsia" w:ascii="仿宋" w:hAnsi="仿宋" w:eastAsia="仿宋" w:cs="仿宋"/>
              <w:b/>
              <w:bCs w:val="0"/>
              <w:color w:val="auto"/>
              <w:sz w:val="32"/>
              <w:szCs w:val="32"/>
              <w:highlight w:val="none"/>
            </w:rPr>
            <w:fldChar w:fldCharType="separate"/>
          </w:r>
          <w:r>
            <w:rPr>
              <w:rFonts w:hint="eastAsia" w:ascii="仿宋" w:hAnsi="仿宋" w:eastAsia="仿宋" w:cs="仿宋"/>
              <w:b/>
              <w:bCs w:val="0"/>
              <w:color w:val="auto"/>
              <w:sz w:val="32"/>
              <w:szCs w:val="32"/>
              <w:highlight w:val="none"/>
            </w:rPr>
            <w:t>一、部门概况</w:t>
          </w:r>
          <w:r>
            <w:rPr>
              <w:rFonts w:hint="eastAsia" w:ascii="仿宋" w:hAnsi="仿宋" w:eastAsia="仿宋" w:cs="仿宋"/>
              <w:b/>
              <w:bCs w:val="0"/>
              <w:color w:val="auto"/>
              <w:sz w:val="32"/>
              <w:szCs w:val="32"/>
              <w:highlight w:val="none"/>
            </w:rPr>
            <w:tab/>
          </w:r>
          <w:r>
            <w:rPr>
              <w:rFonts w:hint="eastAsia" w:ascii="仿宋" w:hAnsi="仿宋" w:eastAsia="仿宋" w:cs="仿宋"/>
              <w:b/>
              <w:bCs w:val="0"/>
              <w:color w:val="auto"/>
              <w:sz w:val="32"/>
              <w:szCs w:val="32"/>
              <w:highlight w:val="none"/>
            </w:rPr>
            <w:fldChar w:fldCharType="begin"/>
          </w:r>
          <w:r>
            <w:rPr>
              <w:rFonts w:hint="eastAsia" w:ascii="仿宋" w:hAnsi="仿宋" w:eastAsia="仿宋" w:cs="仿宋"/>
              <w:b/>
              <w:bCs w:val="0"/>
              <w:color w:val="auto"/>
              <w:sz w:val="32"/>
              <w:szCs w:val="32"/>
              <w:highlight w:val="none"/>
            </w:rPr>
            <w:instrText xml:space="preserve"> PAGEREF _Toc9869 \h </w:instrText>
          </w:r>
          <w:r>
            <w:rPr>
              <w:rFonts w:hint="eastAsia" w:ascii="仿宋" w:hAnsi="仿宋" w:eastAsia="仿宋" w:cs="仿宋"/>
              <w:b/>
              <w:bCs w:val="0"/>
              <w:color w:val="auto"/>
              <w:sz w:val="32"/>
              <w:szCs w:val="32"/>
              <w:highlight w:val="none"/>
            </w:rPr>
            <w:fldChar w:fldCharType="separate"/>
          </w:r>
          <w:r>
            <w:rPr>
              <w:rFonts w:hint="eastAsia" w:ascii="仿宋" w:hAnsi="仿宋" w:eastAsia="仿宋" w:cs="仿宋"/>
              <w:b/>
              <w:bCs w:val="0"/>
              <w:color w:val="auto"/>
              <w:sz w:val="32"/>
              <w:szCs w:val="32"/>
              <w:highlight w:val="none"/>
            </w:rPr>
            <w:t>3</w:t>
          </w:r>
          <w:r>
            <w:rPr>
              <w:rFonts w:hint="eastAsia" w:ascii="仿宋" w:hAnsi="仿宋" w:eastAsia="仿宋" w:cs="仿宋"/>
              <w:b/>
              <w:bCs w:val="0"/>
              <w:color w:val="auto"/>
              <w:sz w:val="32"/>
              <w:szCs w:val="32"/>
              <w:highlight w:val="none"/>
            </w:rPr>
            <w:fldChar w:fldCharType="end"/>
          </w:r>
          <w:r>
            <w:rPr>
              <w:rFonts w:hint="eastAsia" w:ascii="仿宋" w:hAnsi="仿宋" w:eastAsia="仿宋" w:cs="仿宋"/>
              <w:b/>
              <w:bCs w:val="0"/>
              <w:color w:val="auto"/>
              <w:sz w:val="32"/>
              <w:szCs w:val="32"/>
              <w:highlight w:val="none"/>
            </w:rPr>
            <w:fldChar w:fldCharType="end"/>
          </w:r>
        </w:p>
        <w:p>
          <w:pPr>
            <w:pStyle w:val="10"/>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color w:val="auto"/>
              <w:sz w:val="32"/>
              <w:szCs w:val="32"/>
              <w:highlight w:val="none"/>
              <w:lang w:val="en-US" w:eastAsia="zh-CN" w:bidi="zh-CN"/>
            </w:rPr>
          </w:pP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HYPERLINK \l _Toc28507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（一）部门主要职责职能，组织架构、人员及资产等基本情况</w:t>
          </w:r>
          <w:r>
            <w:rPr>
              <w:rFonts w:hint="eastAsia" w:ascii="仿宋" w:hAnsi="仿宋" w:eastAsia="仿宋" w:cs="仿宋"/>
              <w:color w:val="auto"/>
              <w:sz w:val="32"/>
              <w:szCs w:val="32"/>
              <w:highlight w:val="none"/>
              <w:lang w:val="en-US" w:eastAsia="zh-CN" w:bidi="zh-CN"/>
            </w:rPr>
            <w:tab/>
          </w: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PAGEREF _Toc28507 \h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3</w:t>
          </w:r>
          <w:r>
            <w:rPr>
              <w:rFonts w:hint="eastAsia" w:ascii="仿宋" w:hAnsi="仿宋" w:eastAsia="仿宋" w:cs="仿宋"/>
              <w:color w:val="auto"/>
              <w:sz w:val="32"/>
              <w:szCs w:val="32"/>
              <w:highlight w:val="none"/>
              <w:lang w:val="en-US" w:eastAsia="zh-CN" w:bidi="zh-CN"/>
            </w:rPr>
            <w:fldChar w:fldCharType="end"/>
          </w:r>
          <w:r>
            <w:rPr>
              <w:rFonts w:hint="eastAsia" w:ascii="仿宋" w:hAnsi="仿宋" w:eastAsia="仿宋" w:cs="仿宋"/>
              <w:color w:val="auto"/>
              <w:sz w:val="32"/>
              <w:szCs w:val="32"/>
              <w:highlight w:val="none"/>
              <w:lang w:val="en-US" w:eastAsia="zh-CN" w:bidi="zh-CN"/>
            </w:rPr>
            <w:fldChar w:fldCharType="end"/>
          </w:r>
        </w:p>
        <w:p>
          <w:pPr>
            <w:pStyle w:val="10"/>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color w:val="auto"/>
              <w:sz w:val="32"/>
              <w:szCs w:val="32"/>
              <w:highlight w:val="none"/>
              <w:lang w:val="en-US" w:eastAsia="zh-CN" w:bidi="zh-CN"/>
            </w:rPr>
          </w:pP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HYPERLINK \l _Toc19522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（二）当年部门履职总体目标、工作任务</w:t>
          </w:r>
          <w:r>
            <w:rPr>
              <w:rFonts w:hint="eastAsia" w:ascii="仿宋" w:hAnsi="仿宋" w:eastAsia="仿宋" w:cs="仿宋"/>
              <w:color w:val="auto"/>
              <w:sz w:val="32"/>
              <w:szCs w:val="32"/>
              <w:highlight w:val="none"/>
              <w:lang w:val="en-US" w:eastAsia="zh-CN" w:bidi="zh-CN"/>
            </w:rPr>
            <w:tab/>
          </w: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PAGEREF _Toc19522 \h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7</w:t>
          </w:r>
          <w:r>
            <w:rPr>
              <w:rFonts w:hint="eastAsia" w:ascii="仿宋" w:hAnsi="仿宋" w:eastAsia="仿宋" w:cs="仿宋"/>
              <w:color w:val="auto"/>
              <w:sz w:val="32"/>
              <w:szCs w:val="32"/>
              <w:highlight w:val="none"/>
              <w:lang w:val="en-US" w:eastAsia="zh-CN" w:bidi="zh-CN"/>
            </w:rPr>
            <w:fldChar w:fldCharType="end"/>
          </w:r>
          <w:r>
            <w:rPr>
              <w:rFonts w:hint="eastAsia" w:ascii="仿宋" w:hAnsi="仿宋" w:eastAsia="仿宋" w:cs="仿宋"/>
              <w:color w:val="auto"/>
              <w:sz w:val="32"/>
              <w:szCs w:val="32"/>
              <w:highlight w:val="none"/>
              <w:lang w:val="en-US" w:eastAsia="zh-CN" w:bidi="zh-CN"/>
            </w:rPr>
            <w:fldChar w:fldCharType="end"/>
          </w:r>
        </w:p>
        <w:p>
          <w:pPr>
            <w:pStyle w:val="10"/>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color w:val="auto"/>
              <w:sz w:val="32"/>
              <w:szCs w:val="32"/>
              <w:highlight w:val="none"/>
              <w:lang w:val="en-US" w:eastAsia="zh-CN" w:bidi="zh-CN"/>
            </w:rPr>
          </w:pP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HYPERLINK \l _Toc10378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（三）当年部门年度整体支出绩效目标</w:t>
          </w:r>
          <w:r>
            <w:rPr>
              <w:rFonts w:hint="eastAsia" w:ascii="仿宋" w:hAnsi="仿宋" w:eastAsia="仿宋" w:cs="仿宋"/>
              <w:color w:val="auto"/>
              <w:sz w:val="32"/>
              <w:szCs w:val="32"/>
              <w:highlight w:val="none"/>
              <w:lang w:val="en-US" w:eastAsia="zh-CN" w:bidi="zh-CN"/>
            </w:rPr>
            <w:tab/>
          </w: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PAGEREF _Toc10378 \h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8</w:t>
          </w:r>
          <w:r>
            <w:rPr>
              <w:rFonts w:hint="eastAsia" w:ascii="仿宋" w:hAnsi="仿宋" w:eastAsia="仿宋" w:cs="仿宋"/>
              <w:color w:val="auto"/>
              <w:sz w:val="32"/>
              <w:szCs w:val="32"/>
              <w:highlight w:val="none"/>
              <w:lang w:val="en-US" w:eastAsia="zh-CN" w:bidi="zh-CN"/>
            </w:rPr>
            <w:fldChar w:fldCharType="end"/>
          </w:r>
          <w:r>
            <w:rPr>
              <w:rFonts w:hint="eastAsia" w:ascii="仿宋" w:hAnsi="仿宋" w:eastAsia="仿宋" w:cs="仿宋"/>
              <w:color w:val="auto"/>
              <w:sz w:val="32"/>
              <w:szCs w:val="32"/>
              <w:highlight w:val="none"/>
              <w:lang w:val="en-US" w:eastAsia="zh-CN" w:bidi="zh-CN"/>
            </w:rPr>
            <w:fldChar w:fldCharType="end"/>
          </w:r>
        </w:p>
        <w:p>
          <w:pPr>
            <w:pStyle w:val="10"/>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color w:val="auto"/>
              <w:sz w:val="32"/>
              <w:szCs w:val="32"/>
              <w:highlight w:val="none"/>
              <w:lang w:val="en-US" w:eastAsia="zh-CN" w:bidi="zh-CN"/>
            </w:rPr>
          </w:pP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HYPERLINK \l _Toc12271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（四）部门预算绩效管理开展情况</w:t>
          </w:r>
          <w:r>
            <w:rPr>
              <w:rFonts w:hint="eastAsia" w:ascii="仿宋" w:hAnsi="仿宋" w:eastAsia="仿宋" w:cs="仿宋"/>
              <w:color w:val="auto"/>
              <w:sz w:val="32"/>
              <w:szCs w:val="32"/>
              <w:highlight w:val="none"/>
              <w:lang w:val="en-US" w:eastAsia="zh-CN" w:bidi="zh-CN"/>
            </w:rPr>
            <w:tab/>
          </w: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PAGEREF _Toc12271 \h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10</w:t>
          </w:r>
          <w:r>
            <w:rPr>
              <w:rFonts w:hint="eastAsia" w:ascii="仿宋" w:hAnsi="仿宋" w:eastAsia="仿宋" w:cs="仿宋"/>
              <w:color w:val="auto"/>
              <w:sz w:val="32"/>
              <w:szCs w:val="32"/>
              <w:highlight w:val="none"/>
              <w:lang w:val="en-US" w:eastAsia="zh-CN" w:bidi="zh-CN"/>
            </w:rPr>
            <w:fldChar w:fldCharType="end"/>
          </w:r>
          <w:r>
            <w:rPr>
              <w:rFonts w:hint="eastAsia" w:ascii="仿宋" w:hAnsi="仿宋" w:eastAsia="仿宋" w:cs="仿宋"/>
              <w:color w:val="auto"/>
              <w:sz w:val="32"/>
              <w:szCs w:val="32"/>
              <w:highlight w:val="none"/>
              <w:lang w:val="en-US" w:eastAsia="zh-CN" w:bidi="zh-CN"/>
            </w:rPr>
            <w:fldChar w:fldCharType="end"/>
          </w:r>
        </w:p>
        <w:p>
          <w:pPr>
            <w:pStyle w:val="10"/>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color w:val="auto"/>
              <w:highlight w:val="none"/>
            </w:rPr>
          </w:pP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HYPERLINK \l _Toc9590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（五）当年部门预算及执行情况</w:t>
          </w:r>
          <w:r>
            <w:rPr>
              <w:rFonts w:hint="eastAsia" w:ascii="仿宋" w:hAnsi="仿宋" w:eastAsia="仿宋" w:cs="仿宋"/>
              <w:color w:val="auto"/>
              <w:sz w:val="32"/>
              <w:szCs w:val="32"/>
              <w:highlight w:val="none"/>
              <w:lang w:val="en-US" w:eastAsia="zh-CN" w:bidi="zh-CN"/>
            </w:rPr>
            <w:tab/>
          </w: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PAGEREF _Toc9590 \h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11</w:t>
          </w:r>
          <w:r>
            <w:rPr>
              <w:rFonts w:hint="eastAsia" w:ascii="仿宋" w:hAnsi="仿宋" w:eastAsia="仿宋" w:cs="仿宋"/>
              <w:color w:val="auto"/>
              <w:sz w:val="32"/>
              <w:szCs w:val="32"/>
              <w:highlight w:val="none"/>
              <w:lang w:val="en-US" w:eastAsia="zh-CN" w:bidi="zh-CN"/>
            </w:rPr>
            <w:fldChar w:fldCharType="end"/>
          </w:r>
          <w:r>
            <w:rPr>
              <w:rFonts w:hint="eastAsia" w:ascii="仿宋" w:hAnsi="仿宋" w:eastAsia="仿宋" w:cs="仿宋"/>
              <w:color w:val="auto"/>
              <w:sz w:val="32"/>
              <w:szCs w:val="32"/>
              <w:highlight w:val="none"/>
              <w:lang w:val="en-US" w:eastAsia="zh-CN" w:bidi="zh-CN"/>
            </w:rPr>
            <w:fldChar w:fldCharType="end"/>
          </w:r>
        </w:p>
        <w:p>
          <w:pPr>
            <w:pStyle w:val="9"/>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b/>
              <w:bCs w:val="0"/>
              <w:color w:val="auto"/>
              <w:highlight w:val="none"/>
            </w:rPr>
          </w:pPr>
          <w:r>
            <w:rPr>
              <w:rFonts w:hint="eastAsia" w:ascii="仿宋" w:hAnsi="仿宋" w:eastAsia="仿宋" w:cs="仿宋"/>
              <w:b/>
              <w:bCs w:val="0"/>
              <w:color w:val="auto"/>
              <w:sz w:val="32"/>
              <w:szCs w:val="32"/>
              <w:highlight w:val="none"/>
            </w:rPr>
            <w:fldChar w:fldCharType="begin"/>
          </w:r>
          <w:r>
            <w:rPr>
              <w:rFonts w:hint="eastAsia" w:ascii="仿宋" w:hAnsi="仿宋" w:eastAsia="仿宋" w:cs="仿宋"/>
              <w:b/>
              <w:bCs w:val="0"/>
              <w:color w:val="auto"/>
              <w:sz w:val="32"/>
              <w:szCs w:val="32"/>
              <w:highlight w:val="none"/>
            </w:rPr>
            <w:instrText xml:space="preserve"> HYPERLINK \l _Toc16491 </w:instrText>
          </w:r>
          <w:r>
            <w:rPr>
              <w:rFonts w:hint="eastAsia" w:ascii="仿宋" w:hAnsi="仿宋" w:eastAsia="仿宋" w:cs="仿宋"/>
              <w:b/>
              <w:bCs w:val="0"/>
              <w:color w:val="auto"/>
              <w:sz w:val="32"/>
              <w:szCs w:val="32"/>
              <w:highlight w:val="none"/>
            </w:rPr>
            <w:fldChar w:fldCharType="separate"/>
          </w:r>
          <w:r>
            <w:rPr>
              <w:rFonts w:hint="eastAsia" w:ascii="仿宋" w:hAnsi="仿宋" w:eastAsia="仿宋" w:cs="仿宋"/>
              <w:b/>
              <w:bCs w:val="0"/>
              <w:color w:val="auto"/>
              <w:sz w:val="32"/>
              <w:szCs w:val="32"/>
              <w:highlight w:val="none"/>
            </w:rPr>
            <w:t>二、部门整体支出绩效实现情况</w:t>
          </w:r>
          <w:r>
            <w:rPr>
              <w:rFonts w:hint="eastAsia" w:ascii="仿宋" w:hAnsi="仿宋" w:eastAsia="仿宋" w:cs="仿宋"/>
              <w:b/>
              <w:bCs w:val="0"/>
              <w:color w:val="auto"/>
              <w:sz w:val="32"/>
              <w:szCs w:val="32"/>
              <w:highlight w:val="none"/>
            </w:rPr>
            <w:tab/>
          </w:r>
          <w:r>
            <w:rPr>
              <w:rFonts w:hint="eastAsia" w:ascii="仿宋" w:hAnsi="仿宋" w:eastAsia="仿宋" w:cs="仿宋"/>
              <w:b/>
              <w:bCs w:val="0"/>
              <w:color w:val="auto"/>
              <w:sz w:val="32"/>
              <w:szCs w:val="32"/>
              <w:highlight w:val="none"/>
            </w:rPr>
            <w:fldChar w:fldCharType="begin"/>
          </w:r>
          <w:r>
            <w:rPr>
              <w:rFonts w:hint="eastAsia" w:ascii="仿宋" w:hAnsi="仿宋" w:eastAsia="仿宋" w:cs="仿宋"/>
              <w:b/>
              <w:bCs w:val="0"/>
              <w:color w:val="auto"/>
              <w:sz w:val="32"/>
              <w:szCs w:val="32"/>
              <w:highlight w:val="none"/>
            </w:rPr>
            <w:instrText xml:space="preserve"> PAGEREF _Toc16491 \h </w:instrText>
          </w:r>
          <w:r>
            <w:rPr>
              <w:rFonts w:hint="eastAsia" w:ascii="仿宋" w:hAnsi="仿宋" w:eastAsia="仿宋" w:cs="仿宋"/>
              <w:b/>
              <w:bCs w:val="0"/>
              <w:color w:val="auto"/>
              <w:sz w:val="32"/>
              <w:szCs w:val="32"/>
              <w:highlight w:val="none"/>
            </w:rPr>
            <w:fldChar w:fldCharType="separate"/>
          </w:r>
          <w:r>
            <w:rPr>
              <w:rFonts w:hint="eastAsia" w:ascii="仿宋" w:hAnsi="仿宋" w:eastAsia="仿宋" w:cs="仿宋"/>
              <w:b/>
              <w:bCs w:val="0"/>
              <w:color w:val="auto"/>
              <w:sz w:val="32"/>
              <w:szCs w:val="32"/>
              <w:highlight w:val="none"/>
            </w:rPr>
            <w:t>11</w:t>
          </w:r>
          <w:r>
            <w:rPr>
              <w:rFonts w:hint="eastAsia" w:ascii="仿宋" w:hAnsi="仿宋" w:eastAsia="仿宋" w:cs="仿宋"/>
              <w:b/>
              <w:bCs w:val="0"/>
              <w:color w:val="auto"/>
              <w:sz w:val="32"/>
              <w:szCs w:val="32"/>
              <w:highlight w:val="none"/>
            </w:rPr>
            <w:fldChar w:fldCharType="end"/>
          </w:r>
          <w:r>
            <w:rPr>
              <w:rFonts w:hint="eastAsia" w:ascii="仿宋" w:hAnsi="仿宋" w:eastAsia="仿宋" w:cs="仿宋"/>
              <w:b/>
              <w:bCs w:val="0"/>
              <w:color w:val="auto"/>
              <w:sz w:val="32"/>
              <w:szCs w:val="32"/>
              <w:highlight w:val="none"/>
            </w:rPr>
            <w:fldChar w:fldCharType="end"/>
          </w:r>
        </w:p>
        <w:p>
          <w:pPr>
            <w:pStyle w:val="10"/>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color w:val="auto"/>
              <w:sz w:val="32"/>
              <w:szCs w:val="32"/>
              <w:highlight w:val="none"/>
              <w:lang w:val="en-US" w:eastAsia="zh-CN" w:bidi="zh-CN"/>
            </w:rPr>
          </w:pP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HYPERLINK \l _Toc24803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（一）履职完成情况</w:t>
          </w:r>
          <w:r>
            <w:rPr>
              <w:rFonts w:hint="eastAsia" w:ascii="仿宋" w:hAnsi="仿宋" w:eastAsia="仿宋" w:cs="仿宋"/>
              <w:color w:val="auto"/>
              <w:sz w:val="32"/>
              <w:szCs w:val="32"/>
              <w:highlight w:val="none"/>
              <w:lang w:val="en-US" w:eastAsia="zh-CN" w:bidi="zh-CN"/>
            </w:rPr>
            <w:tab/>
          </w: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PAGEREF _Toc24803 \h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11</w:t>
          </w:r>
          <w:r>
            <w:rPr>
              <w:rFonts w:hint="eastAsia" w:ascii="仿宋" w:hAnsi="仿宋" w:eastAsia="仿宋" w:cs="仿宋"/>
              <w:color w:val="auto"/>
              <w:sz w:val="32"/>
              <w:szCs w:val="32"/>
              <w:highlight w:val="none"/>
              <w:lang w:val="en-US" w:eastAsia="zh-CN" w:bidi="zh-CN"/>
            </w:rPr>
            <w:fldChar w:fldCharType="end"/>
          </w:r>
          <w:r>
            <w:rPr>
              <w:rFonts w:hint="eastAsia" w:ascii="仿宋" w:hAnsi="仿宋" w:eastAsia="仿宋" w:cs="仿宋"/>
              <w:color w:val="auto"/>
              <w:sz w:val="32"/>
              <w:szCs w:val="32"/>
              <w:highlight w:val="none"/>
              <w:lang w:val="en-US" w:eastAsia="zh-CN" w:bidi="zh-CN"/>
            </w:rPr>
            <w:fldChar w:fldCharType="end"/>
          </w:r>
        </w:p>
        <w:p>
          <w:pPr>
            <w:pStyle w:val="10"/>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color w:val="auto"/>
              <w:sz w:val="32"/>
              <w:szCs w:val="32"/>
              <w:highlight w:val="none"/>
              <w:lang w:val="en-US" w:eastAsia="zh-CN" w:bidi="zh-CN"/>
            </w:rPr>
          </w:pP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HYPERLINK \l _Toc16292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（二）履职效果情况</w:t>
          </w:r>
          <w:r>
            <w:rPr>
              <w:rFonts w:hint="eastAsia" w:ascii="仿宋" w:hAnsi="仿宋" w:eastAsia="仿宋" w:cs="仿宋"/>
              <w:color w:val="auto"/>
              <w:sz w:val="32"/>
              <w:szCs w:val="32"/>
              <w:highlight w:val="none"/>
              <w:lang w:val="en-US" w:eastAsia="zh-CN" w:bidi="zh-CN"/>
            </w:rPr>
            <w:tab/>
          </w: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PAGEREF _Toc16292 \h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17</w:t>
          </w:r>
          <w:r>
            <w:rPr>
              <w:rFonts w:hint="eastAsia" w:ascii="仿宋" w:hAnsi="仿宋" w:eastAsia="仿宋" w:cs="仿宋"/>
              <w:color w:val="auto"/>
              <w:sz w:val="32"/>
              <w:szCs w:val="32"/>
              <w:highlight w:val="none"/>
              <w:lang w:val="en-US" w:eastAsia="zh-CN" w:bidi="zh-CN"/>
            </w:rPr>
            <w:fldChar w:fldCharType="end"/>
          </w:r>
          <w:r>
            <w:rPr>
              <w:rFonts w:hint="eastAsia" w:ascii="仿宋" w:hAnsi="仿宋" w:eastAsia="仿宋" w:cs="仿宋"/>
              <w:color w:val="auto"/>
              <w:sz w:val="32"/>
              <w:szCs w:val="32"/>
              <w:highlight w:val="none"/>
              <w:lang w:val="en-US" w:eastAsia="zh-CN" w:bidi="zh-CN"/>
            </w:rPr>
            <w:fldChar w:fldCharType="end"/>
          </w:r>
        </w:p>
        <w:p>
          <w:pPr>
            <w:pStyle w:val="10"/>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color w:val="auto"/>
              <w:highlight w:val="none"/>
            </w:rPr>
          </w:pP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HYPERLINK \l _Toc26195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（三）社会满意度及可持续性影响</w:t>
          </w:r>
          <w:r>
            <w:rPr>
              <w:rFonts w:hint="eastAsia" w:ascii="仿宋" w:hAnsi="仿宋" w:eastAsia="仿宋" w:cs="仿宋"/>
              <w:color w:val="auto"/>
              <w:sz w:val="32"/>
              <w:szCs w:val="32"/>
              <w:highlight w:val="none"/>
              <w:lang w:val="en-US" w:eastAsia="zh-CN" w:bidi="zh-CN"/>
            </w:rPr>
            <w:tab/>
          </w: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PAGEREF _Toc26195 \h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17</w:t>
          </w:r>
          <w:r>
            <w:rPr>
              <w:rFonts w:hint="eastAsia" w:ascii="仿宋" w:hAnsi="仿宋" w:eastAsia="仿宋" w:cs="仿宋"/>
              <w:color w:val="auto"/>
              <w:sz w:val="32"/>
              <w:szCs w:val="32"/>
              <w:highlight w:val="none"/>
              <w:lang w:val="en-US" w:eastAsia="zh-CN" w:bidi="zh-CN"/>
            </w:rPr>
            <w:fldChar w:fldCharType="end"/>
          </w:r>
          <w:r>
            <w:rPr>
              <w:rFonts w:hint="eastAsia" w:ascii="仿宋" w:hAnsi="仿宋" w:eastAsia="仿宋" w:cs="仿宋"/>
              <w:color w:val="auto"/>
              <w:sz w:val="32"/>
              <w:szCs w:val="32"/>
              <w:highlight w:val="none"/>
              <w:lang w:val="en-US" w:eastAsia="zh-CN" w:bidi="zh-CN"/>
            </w:rPr>
            <w:fldChar w:fldCharType="end"/>
          </w:r>
        </w:p>
        <w:p>
          <w:pPr>
            <w:pStyle w:val="9"/>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b/>
              <w:bCs w:val="0"/>
              <w:color w:val="auto"/>
              <w:sz w:val="32"/>
              <w:szCs w:val="32"/>
              <w:highlight w:val="none"/>
            </w:rPr>
          </w:pPr>
          <w:r>
            <w:rPr>
              <w:rFonts w:hint="eastAsia" w:ascii="仿宋" w:hAnsi="仿宋" w:eastAsia="仿宋" w:cs="仿宋"/>
              <w:b/>
              <w:bCs w:val="0"/>
              <w:color w:val="auto"/>
              <w:sz w:val="32"/>
              <w:szCs w:val="32"/>
              <w:highlight w:val="none"/>
            </w:rPr>
            <w:fldChar w:fldCharType="begin"/>
          </w:r>
          <w:r>
            <w:rPr>
              <w:rFonts w:hint="eastAsia" w:ascii="仿宋" w:hAnsi="仿宋" w:eastAsia="仿宋" w:cs="仿宋"/>
              <w:b/>
              <w:bCs w:val="0"/>
              <w:color w:val="auto"/>
              <w:sz w:val="32"/>
              <w:szCs w:val="32"/>
              <w:highlight w:val="none"/>
            </w:rPr>
            <w:instrText xml:space="preserve"> HYPERLINK \l _Toc24353 </w:instrText>
          </w:r>
          <w:r>
            <w:rPr>
              <w:rFonts w:hint="eastAsia" w:ascii="仿宋" w:hAnsi="仿宋" w:eastAsia="仿宋" w:cs="仿宋"/>
              <w:b/>
              <w:bCs w:val="0"/>
              <w:color w:val="auto"/>
              <w:sz w:val="32"/>
              <w:szCs w:val="32"/>
              <w:highlight w:val="none"/>
            </w:rPr>
            <w:fldChar w:fldCharType="separate"/>
          </w:r>
          <w:r>
            <w:rPr>
              <w:rFonts w:hint="eastAsia" w:ascii="仿宋" w:hAnsi="仿宋" w:eastAsia="仿宋" w:cs="仿宋"/>
              <w:b/>
              <w:bCs w:val="0"/>
              <w:color w:val="auto"/>
              <w:sz w:val="32"/>
              <w:szCs w:val="32"/>
              <w:highlight w:val="none"/>
              <w:lang w:val="en-US" w:eastAsia="zh-CN"/>
            </w:rPr>
            <w:t>三、部门整体支出绩效中存在问题及改进措施</w:t>
          </w:r>
          <w:r>
            <w:rPr>
              <w:rFonts w:hint="eastAsia" w:ascii="仿宋" w:hAnsi="仿宋" w:eastAsia="仿宋" w:cs="仿宋"/>
              <w:b/>
              <w:bCs w:val="0"/>
              <w:color w:val="auto"/>
              <w:sz w:val="32"/>
              <w:szCs w:val="32"/>
              <w:highlight w:val="none"/>
            </w:rPr>
            <w:tab/>
          </w:r>
          <w:r>
            <w:rPr>
              <w:rFonts w:hint="eastAsia" w:ascii="仿宋" w:hAnsi="仿宋" w:eastAsia="仿宋" w:cs="仿宋"/>
              <w:b/>
              <w:bCs w:val="0"/>
              <w:color w:val="auto"/>
              <w:sz w:val="32"/>
              <w:szCs w:val="32"/>
              <w:highlight w:val="none"/>
            </w:rPr>
            <w:fldChar w:fldCharType="begin"/>
          </w:r>
          <w:r>
            <w:rPr>
              <w:rFonts w:hint="eastAsia" w:ascii="仿宋" w:hAnsi="仿宋" w:eastAsia="仿宋" w:cs="仿宋"/>
              <w:b/>
              <w:bCs w:val="0"/>
              <w:color w:val="auto"/>
              <w:sz w:val="32"/>
              <w:szCs w:val="32"/>
              <w:highlight w:val="none"/>
            </w:rPr>
            <w:instrText xml:space="preserve"> PAGEREF _Toc24353 \h </w:instrText>
          </w:r>
          <w:r>
            <w:rPr>
              <w:rFonts w:hint="eastAsia" w:ascii="仿宋" w:hAnsi="仿宋" w:eastAsia="仿宋" w:cs="仿宋"/>
              <w:b/>
              <w:bCs w:val="0"/>
              <w:color w:val="auto"/>
              <w:sz w:val="32"/>
              <w:szCs w:val="32"/>
              <w:highlight w:val="none"/>
            </w:rPr>
            <w:fldChar w:fldCharType="separate"/>
          </w:r>
          <w:r>
            <w:rPr>
              <w:rFonts w:hint="eastAsia" w:ascii="仿宋" w:hAnsi="仿宋" w:eastAsia="仿宋" w:cs="仿宋"/>
              <w:b/>
              <w:bCs w:val="0"/>
              <w:color w:val="auto"/>
              <w:sz w:val="32"/>
              <w:szCs w:val="32"/>
              <w:highlight w:val="none"/>
            </w:rPr>
            <w:t>18</w:t>
          </w:r>
          <w:r>
            <w:rPr>
              <w:rFonts w:hint="eastAsia" w:ascii="仿宋" w:hAnsi="仿宋" w:eastAsia="仿宋" w:cs="仿宋"/>
              <w:b/>
              <w:bCs w:val="0"/>
              <w:color w:val="auto"/>
              <w:sz w:val="32"/>
              <w:szCs w:val="32"/>
              <w:highlight w:val="none"/>
            </w:rPr>
            <w:fldChar w:fldCharType="end"/>
          </w:r>
          <w:r>
            <w:rPr>
              <w:rFonts w:hint="eastAsia" w:ascii="仿宋" w:hAnsi="仿宋" w:eastAsia="仿宋" w:cs="仿宋"/>
              <w:b/>
              <w:bCs w:val="0"/>
              <w:color w:val="auto"/>
              <w:sz w:val="32"/>
              <w:szCs w:val="32"/>
              <w:highlight w:val="none"/>
            </w:rPr>
            <w:fldChar w:fldCharType="end"/>
          </w:r>
        </w:p>
        <w:p>
          <w:pPr>
            <w:pStyle w:val="10"/>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eastAsia" w:ascii="仿宋" w:hAnsi="仿宋" w:eastAsia="仿宋" w:cs="仿宋"/>
              <w:color w:val="auto"/>
              <w:sz w:val="32"/>
              <w:szCs w:val="32"/>
              <w:highlight w:val="none"/>
              <w:lang w:val="en-US" w:eastAsia="zh-CN" w:bidi="zh-CN"/>
            </w:rPr>
          </w:pP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HYPERLINK \l _Toc19735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（一）主要问题及原因分析</w:t>
          </w:r>
          <w:r>
            <w:rPr>
              <w:rFonts w:hint="eastAsia" w:ascii="仿宋" w:hAnsi="仿宋" w:eastAsia="仿宋" w:cs="仿宋"/>
              <w:color w:val="auto"/>
              <w:sz w:val="32"/>
              <w:szCs w:val="32"/>
              <w:highlight w:val="none"/>
              <w:lang w:val="en-US" w:eastAsia="zh-CN" w:bidi="zh-CN"/>
            </w:rPr>
            <w:tab/>
          </w: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PAGEREF _Toc19735 \h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18</w:t>
          </w:r>
          <w:r>
            <w:rPr>
              <w:rFonts w:hint="eastAsia" w:ascii="仿宋" w:hAnsi="仿宋" w:eastAsia="仿宋" w:cs="仿宋"/>
              <w:color w:val="auto"/>
              <w:sz w:val="32"/>
              <w:szCs w:val="32"/>
              <w:highlight w:val="none"/>
              <w:lang w:val="en-US" w:eastAsia="zh-CN" w:bidi="zh-CN"/>
            </w:rPr>
            <w:fldChar w:fldCharType="end"/>
          </w:r>
          <w:r>
            <w:rPr>
              <w:rFonts w:hint="eastAsia" w:ascii="仿宋" w:hAnsi="仿宋" w:eastAsia="仿宋" w:cs="仿宋"/>
              <w:color w:val="auto"/>
              <w:sz w:val="32"/>
              <w:szCs w:val="32"/>
              <w:highlight w:val="none"/>
              <w:lang w:val="en-US" w:eastAsia="zh-CN" w:bidi="zh-CN"/>
            </w:rPr>
            <w:fldChar w:fldCharType="end"/>
          </w:r>
        </w:p>
        <w:p>
          <w:pPr>
            <w:pStyle w:val="10"/>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rFonts w:hint="default" w:ascii="仿宋" w:hAnsi="仿宋" w:eastAsia="仿宋" w:cs="仿宋"/>
              <w:color w:val="auto"/>
              <w:highlight w:val="none"/>
              <w:lang w:val="en-US"/>
            </w:rPr>
          </w:pPr>
          <w:r>
            <w:rPr>
              <w:rFonts w:hint="eastAsia" w:ascii="仿宋" w:hAnsi="仿宋" w:eastAsia="仿宋" w:cs="仿宋"/>
              <w:color w:val="auto"/>
              <w:sz w:val="32"/>
              <w:szCs w:val="32"/>
              <w:highlight w:val="none"/>
              <w:lang w:val="en-US" w:eastAsia="zh-CN" w:bidi="zh-CN"/>
            </w:rPr>
            <w:fldChar w:fldCharType="begin"/>
          </w:r>
          <w:r>
            <w:rPr>
              <w:rFonts w:hint="eastAsia" w:ascii="仿宋" w:hAnsi="仿宋" w:eastAsia="仿宋" w:cs="仿宋"/>
              <w:color w:val="auto"/>
              <w:sz w:val="32"/>
              <w:szCs w:val="32"/>
              <w:highlight w:val="none"/>
              <w:lang w:val="en-US" w:eastAsia="zh-CN" w:bidi="zh-CN"/>
            </w:rPr>
            <w:instrText xml:space="preserve"> HYPERLINK \l _Toc23879 </w:instrText>
          </w:r>
          <w:r>
            <w:rPr>
              <w:rFonts w:hint="eastAsia" w:ascii="仿宋" w:hAnsi="仿宋" w:eastAsia="仿宋" w:cs="仿宋"/>
              <w:color w:val="auto"/>
              <w:sz w:val="32"/>
              <w:szCs w:val="32"/>
              <w:highlight w:val="none"/>
              <w:lang w:val="en-US" w:eastAsia="zh-CN" w:bidi="zh-CN"/>
            </w:rPr>
            <w:fldChar w:fldCharType="separate"/>
          </w:r>
          <w:r>
            <w:rPr>
              <w:rFonts w:hint="eastAsia" w:ascii="仿宋" w:hAnsi="仿宋" w:eastAsia="仿宋" w:cs="仿宋"/>
              <w:color w:val="auto"/>
              <w:sz w:val="32"/>
              <w:szCs w:val="32"/>
              <w:highlight w:val="none"/>
              <w:lang w:val="en-US" w:eastAsia="zh-CN" w:bidi="zh-CN"/>
            </w:rPr>
            <w:t>（二）改进的方向和具体措施</w:t>
          </w:r>
          <w:r>
            <w:rPr>
              <w:rFonts w:hint="eastAsia" w:ascii="仿宋" w:hAnsi="仿宋" w:eastAsia="仿宋" w:cs="仿宋"/>
              <w:color w:val="auto"/>
              <w:sz w:val="32"/>
              <w:szCs w:val="32"/>
              <w:highlight w:val="none"/>
              <w:lang w:val="en-US" w:eastAsia="zh-CN" w:bidi="zh-CN"/>
            </w:rPr>
            <w:tab/>
          </w:r>
          <w:r>
            <w:rPr>
              <w:rFonts w:hint="eastAsia" w:ascii="仿宋" w:hAnsi="仿宋" w:eastAsia="仿宋" w:cs="仿宋"/>
              <w:color w:val="auto"/>
              <w:sz w:val="32"/>
              <w:szCs w:val="32"/>
              <w:highlight w:val="none"/>
              <w:lang w:val="en-US" w:eastAsia="zh-CN" w:bidi="zh-CN"/>
            </w:rPr>
            <w:t>1</w:t>
          </w:r>
          <w:r>
            <w:rPr>
              <w:rFonts w:hint="eastAsia" w:ascii="仿宋" w:hAnsi="仿宋" w:eastAsia="仿宋" w:cs="仿宋"/>
              <w:color w:val="auto"/>
              <w:sz w:val="32"/>
              <w:szCs w:val="32"/>
              <w:highlight w:val="none"/>
              <w:lang w:val="en-US" w:eastAsia="zh-CN" w:bidi="zh-CN"/>
            </w:rPr>
            <w:fldChar w:fldCharType="end"/>
          </w:r>
          <w:r>
            <w:rPr>
              <w:rFonts w:hint="eastAsia" w:ascii="仿宋" w:hAnsi="仿宋" w:eastAsia="仿宋" w:cs="仿宋"/>
              <w:color w:val="auto"/>
              <w:sz w:val="32"/>
              <w:szCs w:val="32"/>
              <w:highlight w:val="none"/>
              <w:lang w:val="en-US" w:eastAsia="zh-CN" w:bidi="zh-CN"/>
            </w:rPr>
            <w:t>9</w:t>
          </w:r>
        </w:p>
        <w:p>
          <w:pPr>
            <w:pStyle w:val="9"/>
            <w:keepNext w:val="0"/>
            <w:keepLines w:val="0"/>
            <w:pageBreakBefore w:val="0"/>
            <w:widowControl w:val="0"/>
            <w:tabs>
              <w:tab w:val="right" w:leader="dot" w:pos="8306"/>
            </w:tabs>
            <w:kinsoku/>
            <w:wordWrap/>
            <w:overflowPunct/>
            <w:topLinePunct w:val="0"/>
            <w:autoSpaceDE w:val="0"/>
            <w:autoSpaceDN w:val="0"/>
            <w:bidi w:val="0"/>
            <w:adjustRightInd/>
            <w:snapToGrid/>
            <w:spacing w:before="0" w:after="0" w:line="360" w:lineRule="auto"/>
            <w:ind w:left="0" w:leftChars="0"/>
            <w:textAlignment w:val="auto"/>
            <w:rPr>
              <w:b/>
              <w:bCs w:val="0"/>
              <w:color w:val="auto"/>
              <w:highlight w:val="none"/>
            </w:rPr>
          </w:pPr>
          <w:r>
            <w:rPr>
              <w:rFonts w:hint="eastAsia" w:ascii="仿宋" w:hAnsi="仿宋" w:eastAsia="仿宋" w:cs="仿宋"/>
              <w:b/>
              <w:bCs w:val="0"/>
              <w:color w:val="auto"/>
              <w:sz w:val="32"/>
              <w:szCs w:val="32"/>
              <w:highlight w:val="none"/>
            </w:rPr>
            <w:fldChar w:fldCharType="begin"/>
          </w:r>
          <w:r>
            <w:rPr>
              <w:rFonts w:hint="eastAsia" w:ascii="仿宋" w:hAnsi="仿宋" w:eastAsia="仿宋" w:cs="仿宋"/>
              <w:b/>
              <w:bCs w:val="0"/>
              <w:color w:val="auto"/>
              <w:sz w:val="32"/>
              <w:szCs w:val="32"/>
              <w:highlight w:val="none"/>
            </w:rPr>
            <w:instrText xml:space="preserve"> HYPERLINK \l _Toc13551 </w:instrText>
          </w:r>
          <w:r>
            <w:rPr>
              <w:rFonts w:hint="eastAsia" w:ascii="仿宋" w:hAnsi="仿宋" w:eastAsia="仿宋" w:cs="仿宋"/>
              <w:b/>
              <w:bCs w:val="0"/>
              <w:color w:val="auto"/>
              <w:sz w:val="32"/>
              <w:szCs w:val="32"/>
              <w:highlight w:val="none"/>
            </w:rPr>
            <w:fldChar w:fldCharType="separate"/>
          </w:r>
          <w:r>
            <w:rPr>
              <w:rFonts w:hint="eastAsia" w:ascii="仿宋" w:hAnsi="仿宋" w:eastAsia="仿宋" w:cs="仿宋"/>
              <w:b/>
              <w:bCs w:val="0"/>
              <w:color w:val="auto"/>
              <w:sz w:val="32"/>
              <w:szCs w:val="32"/>
              <w:highlight w:val="none"/>
              <w:lang w:val="en-US" w:eastAsia="zh-CN" w:bidi="zh-CN"/>
            </w:rPr>
            <w:t>四、绩效自评结果拟应用和公开情况</w:t>
          </w:r>
          <w:r>
            <w:rPr>
              <w:rFonts w:hint="eastAsia" w:ascii="仿宋" w:hAnsi="仿宋" w:eastAsia="仿宋" w:cs="仿宋"/>
              <w:b/>
              <w:bCs w:val="0"/>
              <w:color w:val="auto"/>
              <w:sz w:val="32"/>
              <w:szCs w:val="32"/>
              <w:highlight w:val="none"/>
            </w:rPr>
            <w:tab/>
          </w:r>
          <w:r>
            <w:rPr>
              <w:rFonts w:hint="eastAsia" w:ascii="仿宋" w:hAnsi="仿宋" w:eastAsia="仿宋" w:cs="仿宋"/>
              <w:b/>
              <w:bCs w:val="0"/>
              <w:color w:val="auto"/>
              <w:sz w:val="32"/>
              <w:szCs w:val="32"/>
              <w:highlight w:val="none"/>
            </w:rPr>
            <w:fldChar w:fldCharType="begin"/>
          </w:r>
          <w:r>
            <w:rPr>
              <w:rFonts w:hint="eastAsia" w:ascii="仿宋" w:hAnsi="仿宋" w:eastAsia="仿宋" w:cs="仿宋"/>
              <w:b/>
              <w:bCs w:val="0"/>
              <w:color w:val="auto"/>
              <w:sz w:val="32"/>
              <w:szCs w:val="32"/>
              <w:highlight w:val="none"/>
            </w:rPr>
            <w:instrText xml:space="preserve"> PAGEREF _Toc13551 \h </w:instrText>
          </w:r>
          <w:r>
            <w:rPr>
              <w:rFonts w:hint="eastAsia" w:ascii="仿宋" w:hAnsi="仿宋" w:eastAsia="仿宋" w:cs="仿宋"/>
              <w:b/>
              <w:bCs w:val="0"/>
              <w:color w:val="auto"/>
              <w:sz w:val="32"/>
              <w:szCs w:val="32"/>
              <w:highlight w:val="none"/>
            </w:rPr>
            <w:fldChar w:fldCharType="separate"/>
          </w:r>
          <w:r>
            <w:rPr>
              <w:rFonts w:hint="eastAsia" w:ascii="仿宋" w:hAnsi="仿宋" w:eastAsia="仿宋" w:cs="仿宋"/>
              <w:b/>
              <w:bCs w:val="0"/>
              <w:color w:val="auto"/>
              <w:sz w:val="32"/>
              <w:szCs w:val="32"/>
              <w:highlight w:val="none"/>
            </w:rPr>
            <w:t>19</w:t>
          </w:r>
          <w:r>
            <w:rPr>
              <w:rFonts w:hint="eastAsia" w:ascii="仿宋" w:hAnsi="仿宋" w:eastAsia="仿宋" w:cs="仿宋"/>
              <w:b/>
              <w:bCs w:val="0"/>
              <w:color w:val="auto"/>
              <w:sz w:val="32"/>
              <w:szCs w:val="32"/>
              <w:highlight w:val="none"/>
            </w:rPr>
            <w:fldChar w:fldCharType="end"/>
          </w:r>
          <w:r>
            <w:rPr>
              <w:rFonts w:hint="eastAsia" w:ascii="仿宋" w:hAnsi="仿宋" w:eastAsia="仿宋" w:cs="仿宋"/>
              <w:b/>
              <w:bCs w:val="0"/>
              <w:color w:val="auto"/>
              <w:sz w:val="32"/>
              <w:szCs w:val="32"/>
              <w:highlight w:val="none"/>
            </w:rPr>
            <w:fldChar w:fldCharType="end"/>
          </w:r>
        </w:p>
        <w:p>
          <w:pPr>
            <w:pStyle w:val="2"/>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textAlignment w:val="auto"/>
            <w:outlineLvl w:val="9"/>
            <w:rPr>
              <w:rFonts w:hint="eastAsia"/>
              <w:b/>
              <w:bCs/>
              <w:color w:val="auto"/>
              <w:highlight w:val="none"/>
            </w:rPr>
          </w:pPr>
          <w:r>
            <w:rPr>
              <w:rFonts w:hint="eastAsia"/>
              <w:bCs/>
              <w:color w:val="auto"/>
              <w:highlight w:val="none"/>
            </w:rPr>
            <w:fldChar w:fldCharType="end"/>
          </w:r>
        </w:p>
      </w:sdtContent>
    </w:sdt>
    <w:p>
      <w:pPr>
        <w:pStyle w:val="10"/>
        <w:keepNext w:val="0"/>
        <w:keepLines w:val="0"/>
        <w:pageBreakBefore w:val="0"/>
        <w:kinsoku/>
        <w:overflowPunct/>
        <w:topLinePunct w:val="0"/>
        <w:bidi w:val="0"/>
        <w:adjustRightInd/>
        <w:spacing w:before="0" w:after="0" w:line="360" w:lineRule="auto"/>
        <w:ind w:left="0" w:leftChars="0" w:firstLine="0" w:firstLineChars="0"/>
        <w:rPr>
          <w:rFonts w:hint="eastAsia"/>
          <w:b/>
          <w:bCs/>
          <w:color w:val="auto"/>
          <w:highlight w:val="none"/>
        </w:rPr>
      </w:pPr>
      <w:bookmarkStart w:id="22" w:name="_GoBack"/>
      <w:bookmarkEnd w:id="22"/>
    </w:p>
    <w:p>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jc w:val="center"/>
        <w:textAlignment w:val="auto"/>
        <w:rPr>
          <w:rFonts w:hint="eastAsia" w:ascii="方正小标宋_GBK" w:hAnsi="方正小标宋_GBK" w:eastAsia="方正小标宋_GBK" w:cs="方正小标宋_GBK"/>
          <w:bCs/>
          <w:color w:val="auto"/>
          <w:kern w:val="2"/>
          <w:sz w:val="44"/>
          <w:szCs w:val="44"/>
          <w:highlight w:val="none"/>
          <w:lang w:val="en-US" w:eastAsia="zh-CN" w:bidi="ar-SA"/>
        </w:rPr>
      </w:pPr>
      <w:bookmarkStart w:id="1" w:name="_Toc11373"/>
      <w:r>
        <w:rPr>
          <w:rFonts w:hint="eastAsia" w:ascii="方正小标宋_GBK" w:hAnsi="方正小标宋_GBK" w:eastAsia="方正小标宋_GBK" w:cs="方正小标宋_GBK"/>
          <w:bCs/>
          <w:color w:val="auto"/>
          <w:kern w:val="2"/>
          <w:sz w:val="44"/>
          <w:szCs w:val="44"/>
          <w:highlight w:val="none"/>
          <w:lang w:val="en-US" w:eastAsia="zh-CN" w:bidi="ar-SA"/>
        </w:rPr>
        <w:t>2025年度南昌市民政局部门</w:t>
      </w:r>
      <w:bookmarkEnd w:id="1"/>
      <w:bookmarkStart w:id="2" w:name="_Toc3985"/>
      <w:r>
        <w:rPr>
          <w:rFonts w:hint="eastAsia" w:ascii="方正小标宋_GBK" w:hAnsi="方正小标宋_GBK" w:eastAsia="方正小标宋_GBK" w:cs="方正小标宋_GBK"/>
          <w:bCs/>
          <w:color w:val="auto"/>
          <w:kern w:val="2"/>
          <w:sz w:val="44"/>
          <w:szCs w:val="44"/>
          <w:highlight w:val="none"/>
          <w:lang w:val="en-US" w:eastAsia="zh-CN" w:bidi="ar-SA"/>
        </w:rPr>
        <w:t>整体</w:t>
      </w:r>
    </w:p>
    <w:p>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jc w:val="center"/>
        <w:textAlignment w:val="auto"/>
        <w:rPr>
          <w:rFonts w:hint="eastAsia" w:ascii="方正小标宋_GBK" w:hAnsi="方正小标宋_GBK" w:eastAsia="方正小标宋_GBK" w:cs="方正小标宋_GBK"/>
          <w:bCs/>
          <w:color w:val="auto"/>
          <w:kern w:val="2"/>
          <w:sz w:val="44"/>
          <w:szCs w:val="44"/>
          <w:highlight w:val="none"/>
          <w:lang w:val="en-US" w:eastAsia="zh-CN" w:bidi="ar-SA"/>
        </w:rPr>
      </w:pPr>
      <w:r>
        <w:rPr>
          <w:rFonts w:hint="eastAsia" w:ascii="方正小标宋_GBK" w:hAnsi="方正小标宋_GBK" w:eastAsia="方正小标宋_GBK" w:cs="方正小标宋_GBK"/>
          <w:bCs/>
          <w:color w:val="auto"/>
          <w:kern w:val="2"/>
          <w:sz w:val="44"/>
          <w:szCs w:val="44"/>
          <w:highlight w:val="none"/>
          <w:lang w:val="en-US" w:eastAsia="zh-CN" w:bidi="ar-SA"/>
        </w:rPr>
        <w:t>支出绩效自评报告</w:t>
      </w:r>
      <w:bookmarkEnd w:id="2"/>
    </w:p>
    <w:p>
      <w:pPr>
        <w:keepNext w:val="0"/>
        <w:keepLines w:val="0"/>
        <w:pageBreakBefore w:val="0"/>
        <w:kinsoku/>
        <w:overflowPunct/>
        <w:topLinePunct w:val="0"/>
        <w:autoSpaceDE/>
        <w:autoSpaceDN/>
        <w:bidi w:val="0"/>
        <w:adjustRightInd/>
        <w:snapToGrid/>
        <w:spacing w:before="0" w:after="0" w:line="360" w:lineRule="auto"/>
        <w:ind w:left="0" w:leftChars="0" w:right="0"/>
        <w:jc w:val="center"/>
        <w:rPr>
          <w:rFonts w:hint="eastAsia"/>
          <w:color w:val="auto"/>
          <w:highlight w:val="none"/>
        </w:rPr>
      </w:pPr>
      <w:r>
        <w:rPr>
          <w:rFonts w:hint="eastAsia" w:ascii="楷体" w:eastAsia="楷体"/>
          <w:b/>
          <w:bCs/>
          <w:color w:val="auto"/>
          <w:highlight w:val="none"/>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firstLine="640" w:firstLineChars="200"/>
        <w:jc w:val="both"/>
        <w:textAlignment w:val="auto"/>
        <w:rPr>
          <w:rFonts w:hint="eastAsia" w:ascii="仿宋_GB2312" w:hAnsi="仿宋" w:eastAsia="仿宋_GB2312" w:cs="仿宋"/>
          <w:color w:val="auto"/>
          <w:sz w:val="32"/>
          <w:szCs w:val="32"/>
          <w:highlight w:val="none"/>
          <w:lang w:val="en-US" w:eastAsia="zh-CN" w:bidi="zh-CN"/>
        </w:rPr>
      </w:pPr>
      <w:r>
        <w:rPr>
          <w:rFonts w:hint="eastAsia" w:ascii="仿宋_GB2312" w:hAnsi="仿宋" w:eastAsia="仿宋_GB2312" w:cs="仿宋"/>
          <w:color w:val="auto"/>
          <w:sz w:val="32"/>
          <w:szCs w:val="32"/>
          <w:highlight w:val="none"/>
          <w:lang w:val="en-US" w:eastAsia="zh-CN" w:bidi="zh-CN"/>
        </w:rPr>
        <w:t>为贯彻落实《中共中央 国务院关于全面实施预算绩效管理的实施意见》（中发〔2018〕34号）、《中共江西省委 江西省人民政府关于全面实施预算绩效管理的实施意见》（赣发〔2019〕8号）以及《中共南昌市委 南昌市人民政府关于全面实施预算绩效管理的实施意见》（洪发〔2020〕23号）等文件精神，规范预算绩效管理，提高财政资金使用效益和运行效率，促进财政支出绩效评价与部门预算的有机结合，建立健全预算绩效评价体系和科学合理的财政资金绩效管理机制，进一步提高绩效评价站位和效能，我局按照相关工作要求，开展部门整体支出绩效自评工作，经过资金使用情况核查、基础数据统计、分析等必要的评价程序，运用绩效原理和统计方法，在梳理、分析评价数据资料的基础上，进行了部门整体支出绩效自评。具体情况汇报如下：</w:t>
      </w:r>
    </w:p>
    <w:p>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640" w:firstLineChars="200"/>
        <w:textAlignment w:val="auto"/>
        <w:outlineLvl w:val="0"/>
        <w:rPr>
          <w:rFonts w:hint="eastAsia" w:ascii="黑体" w:eastAsia="黑体"/>
          <w:color w:val="auto"/>
          <w:highlight w:val="none"/>
        </w:rPr>
      </w:pPr>
      <w:bookmarkStart w:id="3" w:name="_Toc9869"/>
      <w:r>
        <w:rPr>
          <w:rFonts w:hint="eastAsia" w:ascii="黑体" w:eastAsia="黑体"/>
          <w:color w:val="auto"/>
          <w:highlight w:val="none"/>
        </w:rPr>
        <w:t>一、部门概况</w:t>
      </w:r>
      <w:bookmarkEnd w:id="3"/>
    </w:p>
    <w:p>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642" w:firstLineChars="200"/>
        <w:textAlignment w:val="auto"/>
        <w:outlineLvl w:val="1"/>
        <w:rPr>
          <w:rFonts w:hint="eastAsia" w:ascii="楷体_GB2312" w:hAnsi="楷体_GB2312" w:eastAsia="楷体_GB2312" w:cs="楷体_GB2312"/>
          <w:b/>
          <w:bCs/>
          <w:color w:val="auto"/>
          <w:sz w:val="32"/>
          <w:szCs w:val="32"/>
          <w:highlight w:val="none"/>
        </w:rPr>
      </w:pPr>
      <w:bookmarkStart w:id="4" w:name="_Toc28507"/>
      <w:r>
        <w:rPr>
          <w:rFonts w:hint="eastAsia" w:ascii="楷体_GB2312" w:hAnsi="楷体_GB2312" w:eastAsia="楷体_GB2312" w:cs="楷体_GB2312"/>
          <w:b/>
          <w:bCs/>
          <w:color w:val="auto"/>
          <w:sz w:val="32"/>
          <w:szCs w:val="32"/>
          <w:highlight w:val="none"/>
        </w:rPr>
        <w:t>（一）部门主要职责职能，组织架构、人员及资产等基本情况</w:t>
      </w:r>
      <w:bookmarkEnd w:id="4"/>
    </w:p>
    <w:p>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firstLine="642" w:firstLineChars="200"/>
        <w:textAlignment w:val="auto"/>
        <w:outlineLvl w:val="9"/>
        <w:rPr>
          <w:rFonts w:hint="eastAsia"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1</w:t>
      </w:r>
      <w:r>
        <w:rPr>
          <w:rFonts w:hint="eastAsia" w:cs="仿宋_GB2312"/>
          <w:b/>
          <w:bCs/>
          <w:color w:val="auto"/>
          <w:sz w:val="32"/>
          <w:szCs w:val="32"/>
          <w:highlight w:val="none"/>
          <w:lang w:val="en-US" w:eastAsia="zh-CN" w:bidi="zh-CN"/>
        </w:rPr>
        <w:t>.</w:t>
      </w:r>
      <w:r>
        <w:rPr>
          <w:rFonts w:hint="eastAsia" w:ascii="仿宋_GB2312" w:hAnsi="仿宋_GB2312" w:eastAsia="仿宋_GB2312" w:cs="仿宋_GB2312"/>
          <w:b/>
          <w:bCs/>
          <w:color w:val="auto"/>
          <w:sz w:val="32"/>
          <w:szCs w:val="32"/>
          <w:highlight w:val="none"/>
          <w:lang w:val="en-US" w:eastAsia="zh-CN" w:bidi="zh-CN"/>
        </w:rPr>
        <w:t>部门主要职责职能</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(一)拟订全市民政事业发展规划和政策并组织实施，草拟有关地方性法规规章草案。</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(二)依法对市本级社会组织进行登记管理和执法监督。承担市本级民政领域社会组织党建工作。</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(三)拟订全市社会救助政策、标准，统筹社会救助体系建设，负责城乡居民最低生活保障、特困人员救助供养、临时救助工作。</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四)拟订全市行政区划、行政区域界线和地名管理政策提出行政区划调整建议，承担市域范围内行政区划的设立、撤销、更名、隶属关系的变更以及政府驻地迁移的审核报批工作，负责行政区域界线的勘定和管理，调处行政区域边界争议，负责地名命名、更名、备案的审核工作，规范地名标志的设置与管理工作，组织开展地名公共服务。</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(五)拟订全市婚姻管理政策并组织实施，推进婚俗改革。</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(六)拟订全市殡葬管理政策、服务规范并组织实施，推进殡葬改革。</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(七)拟订全市残疾人权益保护政策，推进残疾人福利制度建设。</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八)承担市老龄工作委员会的具体工作。组织拟订并协调全市落实积极应对人口老龄化的政策措施。统筹推进老龄事业和老龄产业发展，协同发展银发经济。指导协调全市老年人权益保障工作。组织拟订全市老年人社会参与政策并组织实施。</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九)组织拟订并协调落实全市促进养老事业发展的政策措施。统筹推进、督促指导、监督管理养老服务工作，拟订全市养老服务体系建设规划、政策、标准并组织实施，承担老年人福利和特殊困难老年人救助工作。</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(十)拟订全市儿童福利、孤弃儿童保障、儿童收养、儿童救助保护政策和标准，健全留守儿童、流动儿童关爱服务体系和困境儿童保障制度。</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(十一)组织拟订全市促进慈善事业发展政策，组织指导社会捐助工作，负责福利彩票管理工作。</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(十二)协助做好涉及村民委员会、居民委员会工作中需以政府名义出面的有关工作。</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(十三)完成市委、市政府交办的其他任务。</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2" w:firstLineChars="200"/>
        <w:textAlignment w:val="auto"/>
        <w:outlineLvl w:val="9"/>
        <w:rPr>
          <w:rFonts w:hint="eastAsia"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2.部门组织架构</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704" w:firstLineChars="200"/>
        <w:textAlignment w:val="auto"/>
        <w:outlineLvl w:val="9"/>
        <w:rPr>
          <w:rFonts w:hint="eastAsia" w:ascii="仿宋_GB2312" w:hAnsi="仿宋_GB2312" w:eastAsia="仿宋_GB2312" w:cs="仿宋_GB2312"/>
          <w:color w:val="auto"/>
          <w:spacing w:val="-1"/>
          <w:sz w:val="32"/>
          <w:szCs w:val="32"/>
          <w:highlight w:val="none"/>
        </w:rPr>
      </w:pPr>
      <w:r>
        <w:rPr>
          <w:rFonts w:hint="eastAsia" w:ascii="仿宋_GB2312" w:hAnsi="仿宋_GB2312" w:eastAsia="仿宋_GB2312" w:cs="仿宋_GB2312"/>
          <w:color w:val="auto"/>
          <w:spacing w:val="16"/>
          <w:sz w:val="32"/>
          <w:szCs w:val="32"/>
          <w:highlight w:val="none"/>
          <w:lang w:eastAsia="zh-CN"/>
        </w:rPr>
        <w:t>南昌市民政局</w:t>
      </w:r>
      <w:r>
        <w:rPr>
          <w:rFonts w:hint="eastAsia" w:ascii="仿宋_GB2312" w:hAnsi="仿宋_GB2312" w:eastAsia="仿宋_GB2312" w:cs="仿宋_GB2312"/>
          <w:color w:val="auto"/>
          <w:spacing w:val="16"/>
          <w:sz w:val="32"/>
          <w:szCs w:val="32"/>
          <w:highlight w:val="none"/>
        </w:rPr>
        <w:t>共有预算单位6个，包括局本级和5个</w:t>
      </w:r>
      <w:r>
        <w:rPr>
          <w:rFonts w:hint="eastAsia" w:ascii="仿宋_GB2312" w:hAnsi="仿宋_GB2312" w:eastAsia="仿宋_GB2312" w:cs="仿宋_GB2312"/>
          <w:color w:val="auto"/>
          <w:spacing w:val="15"/>
          <w:sz w:val="32"/>
          <w:szCs w:val="32"/>
          <w:highlight w:val="none"/>
        </w:rPr>
        <w:t>所属二级预</w:t>
      </w:r>
      <w:r>
        <w:rPr>
          <w:rFonts w:hint="eastAsia" w:ascii="仿宋_GB2312" w:hAnsi="仿宋_GB2312" w:eastAsia="仿宋_GB2312" w:cs="仿宋_GB2312"/>
          <w:color w:val="auto"/>
          <w:spacing w:val="10"/>
          <w:sz w:val="32"/>
          <w:szCs w:val="32"/>
          <w:highlight w:val="none"/>
        </w:rPr>
        <w:t>算单位，其中，行政机关1个：</w:t>
      </w:r>
      <w:r>
        <w:rPr>
          <w:rFonts w:hint="eastAsia" w:ascii="仿宋_GB2312" w:hAnsi="仿宋_GB2312" w:eastAsia="仿宋_GB2312" w:cs="仿宋_GB2312"/>
          <w:color w:val="auto"/>
          <w:spacing w:val="10"/>
          <w:sz w:val="32"/>
          <w:szCs w:val="32"/>
          <w:highlight w:val="none"/>
          <w:lang w:eastAsia="zh-CN"/>
        </w:rPr>
        <w:t>南昌市民政局</w:t>
      </w:r>
      <w:r>
        <w:rPr>
          <w:rFonts w:hint="eastAsia" w:ascii="仿宋_GB2312" w:hAnsi="仿宋_GB2312" w:eastAsia="仿宋_GB2312" w:cs="仿宋_GB2312"/>
          <w:color w:val="auto"/>
          <w:spacing w:val="10"/>
          <w:sz w:val="32"/>
          <w:szCs w:val="32"/>
          <w:highlight w:val="none"/>
        </w:rPr>
        <w:t>；参照公务员管理</w:t>
      </w:r>
      <w:r>
        <w:rPr>
          <w:rFonts w:hint="eastAsia" w:ascii="仿宋_GB2312" w:hAnsi="仿宋_GB2312" w:eastAsia="仿宋_GB2312" w:cs="仿宋_GB2312"/>
          <w:color w:val="auto"/>
          <w:spacing w:val="16"/>
          <w:sz w:val="32"/>
          <w:szCs w:val="32"/>
          <w:highlight w:val="none"/>
        </w:rPr>
        <w:t>的事业单位1个：南昌市救助管理站；公益一类事业单位4个：</w:t>
      </w:r>
      <w:r>
        <w:rPr>
          <w:rFonts w:hint="eastAsia" w:ascii="仿宋_GB2312" w:hAnsi="仿宋_GB2312" w:eastAsia="仿宋_GB2312" w:cs="仿宋_GB2312"/>
          <w:color w:val="auto"/>
          <w:spacing w:val="4"/>
          <w:sz w:val="32"/>
          <w:szCs w:val="32"/>
          <w:highlight w:val="none"/>
        </w:rPr>
        <w:t>南昌市社会福利院、南昌市按摩医院、南昌市殡仪服务中心、南</w:t>
      </w:r>
      <w:r>
        <w:rPr>
          <w:rFonts w:hint="eastAsia" w:ascii="仿宋_GB2312" w:hAnsi="仿宋_GB2312" w:eastAsia="仿宋_GB2312" w:cs="仿宋_GB2312"/>
          <w:color w:val="auto"/>
          <w:spacing w:val="-1"/>
          <w:sz w:val="32"/>
          <w:szCs w:val="32"/>
          <w:highlight w:val="none"/>
        </w:rPr>
        <w:t>昌市民政事务服务中心。</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36" w:firstLineChars="200"/>
        <w:textAlignment w:val="auto"/>
        <w:outlineLvl w:val="9"/>
        <w:rPr>
          <w:color w:val="auto"/>
          <w:spacing w:val="-1"/>
          <w:highlight w:val="none"/>
        </w:rPr>
      </w:pPr>
      <w:r>
        <w:rPr>
          <w:rFonts w:hint="eastAsia" w:ascii="仿宋_GB2312" w:hAnsi="仿宋_GB2312" w:eastAsia="仿宋_GB2312" w:cs="仿宋_GB2312"/>
          <w:color w:val="auto"/>
          <w:spacing w:val="-1"/>
          <w:sz w:val="32"/>
          <w:szCs w:val="32"/>
          <w:highlight w:val="none"/>
        </w:rPr>
        <w:t>南昌市民政局机关内部职能科室</w:t>
      </w:r>
      <w:r>
        <w:rPr>
          <w:rFonts w:hint="eastAsia"/>
          <w:color w:val="auto"/>
          <w:spacing w:val="-1"/>
          <w:sz w:val="32"/>
          <w:szCs w:val="32"/>
          <w:highlight w:val="none"/>
        </w:rPr>
        <w:t>1</w:t>
      </w:r>
      <w:r>
        <w:rPr>
          <w:rFonts w:hint="eastAsia" w:ascii="仿宋_GB2312" w:hAnsi="仿宋_GB2312" w:eastAsia="仿宋_GB2312" w:cs="仿宋_GB2312"/>
          <w:color w:val="auto"/>
          <w:spacing w:val="-1"/>
          <w:sz w:val="32"/>
          <w:szCs w:val="32"/>
          <w:highlight w:val="none"/>
        </w:rPr>
        <w:t>3个，包括：办公室、政策法规科(信访科)、规划财务科、审批服务和社会组织管理科(南昌市社会组织执法监督局、中共南昌市民政社会组织综合委员会办公室)、社会救助科、区划地名科、社会事务科、老龄工作科、养老服务科、儿童福利科、慈善事业促进和社会工作科、组织人事科、直属机关党委。</w:t>
      </w:r>
    </w:p>
    <w:p>
      <w:pPr>
        <w:keepNext w:val="0"/>
        <w:keepLines w:val="0"/>
        <w:pageBreakBefore w:val="0"/>
        <w:kinsoku/>
        <w:wordWrap/>
        <w:overflowPunct/>
        <w:topLinePunct w:val="0"/>
        <w:autoSpaceDE w:val="0"/>
        <w:autoSpaceDN w:val="0"/>
        <w:bidi w:val="0"/>
        <w:adjustRightInd/>
        <w:snapToGrid/>
        <w:spacing w:before="0" w:after="0" w:line="360" w:lineRule="auto"/>
        <w:ind w:left="0" w:leftChars="0" w:firstLine="642" w:firstLineChars="200"/>
        <w:outlineLvl w:val="9"/>
        <w:rPr>
          <w:rFonts w:hint="default"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3.人员情况</w:t>
      </w:r>
    </w:p>
    <w:p>
      <w:pPr>
        <w:pStyle w:val="4"/>
        <w:keepNext w:val="0"/>
        <w:keepLines w:val="0"/>
        <w:pageBreakBefore w:val="0"/>
        <w:kinsoku/>
        <w:overflowPunct/>
        <w:topLinePunct w:val="0"/>
        <w:bidi w:val="0"/>
        <w:adjustRightInd/>
        <w:snapToGrid/>
        <w:spacing w:before="0" w:after="0" w:line="360" w:lineRule="auto"/>
        <w:ind w:left="0" w:leftChars="0" w:firstLine="650"/>
        <w:jc w:val="both"/>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截至202</w:t>
      </w:r>
      <w:r>
        <w:rPr>
          <w:rFonts w:hint="eastAsia" w:cs="仿宋_GB2312"/>
          <w:b w:val="0"/>
          <w:bCs w:val="0"/>
          <w:color w:val="auto"/>
          <w:sz w:val="32"/>
          <w:szCs w:val="32"/>
          <w:highlight w:val="none"/>
          <w:lang w:val="en-US" w:eastAsia="zh-CN" w:bidi="zh-CN"/>
        </w:rPr>
        <w:t>5</w:t>
      </w:r>
      <w:r>
        <w:rPr>
          <w:rFonts w:hint="eastAsia" w:ascii="仿宋_GB2312" w:hAnsi="仿宋_GB2312" w:eastAsia="仿宋_GB2312" w:cs="仿宋_GB2312"/>
          <w:b w:val="0"/>
          <w:bCs w:val="0"/>
          <w:color w:val="auto"/>
          <w:sz w:val="32"/>
          <w:szCs w:val="32"/>
          <w:highlight w:val="none"/>
          <w:lang w:val="en-US" w:eastAsia="zh-CN" w:bidi="zh-CN"/>
        </w:rPr>
        <w:t>年12月31日，</w:t>
      </w:r>
      <w:r>
        <w:rPr>
          <w:color w:val="auto"/>
          <w:spacing w:val="21"/>
          <w:highlight w:val="none"/>
        </w:rPr>
        <w:t>编制人数小计459人，其中：行政编制40人、参照公务员管理的事业编制49人、全部补助事业编制1</w:t>
      </w:r>
      <w:r>
        <w:rPr>
          <w:color w:val="auto"/>
          <w:spacing w:val="20"/>
          <w:highlight w:val="none"/>
        </w:rPr>
        <w:t>53人</w:t>
      </w:r>
      <w:r>
        <w:rPr>
          <w:rFonts w:hint="eastAsia"/>
          <w:color w:val="auto"/>
          <w:spacing w:val="20"/>
          <w:highlight w:val="none"/>
          <w:lang w:eastAsia="zh-CN"/>
        </w:rPr>
        <w:t>和</w:t>
      </w:r>
      <w:r>
        <w:rPr>
          <w:color w:val="auto"/>
          <w:spacing w:val="20"/>
          <w:highlight w:val="none"/>
        </w:rPr>
        <w:t>部分补助事</w:t>
      </w:r>
      <w:r>
        <w:rPr>
          <w:color w:val="auto"/>
          <w:spacing w:val="21"/>
          <w:highlight w:val="none"/>
        </w:rPr>
        <w:t>业编制217人。实有人数</w:t>
      </w:r>
      <w:r>
        <w:rPr>
          <w:rFonts w:hint="eastAsia"/>
          <w:color w:val="auto"/>
          <w:spacing w:val="21"/>
          <w:highlight w:val="none"/>
          <w:lang w:val="en-US" w:eastAsia="zh-CN"/>
        </w:rPr>
        <w:t>711</w:t>
      </w:r>
      <w:r>
        <w:rPr>
          <w:color w:val="auto"/>
          <w:spacing w:val="21"/>
          <w:highlight w:val="none"/>
        </w:rPr>
        <w:t>人，其中</w:t>
      </w:r>
      <w:r>
        <w:rPr>
          <w:color w:val="auto"/>
          <w:spacing w:val="20"/>
          <w:highlight w:val="none"/>
        </w:rPr>
        <w:t>：</w:t>
      </w:r>
      <w:r>
        <w:rPr>
          <w:rFonts w:hint="eastAsia"/>
          <w:color w:val="auto"/>
          <w:spacing w:val="20"/>
          <w:highlight w:val="none"/>
          <w:lang w:eastAsia="zh-CN"/>
        </w:rPr>
        <w:t>（</w:t>
      </w:r>
      <w:r>
        <w:rPr>
          <w:rFonts w:hint="eastAsia"/>
          <w:color w:val="auto"/>
          <w:spacing w:val="20"/>
          <w:highlight w:val="none"/>
          <w:lang w:val="en-US" w:eastAsia="zh-CN"/>
        </w:rPr>
        <w:t>1</w:t>
      </w:r>
      <w:r>
        <w:rPr>
          <w:rFonts w:hint="eastAsia"/>
          <w:color w:val="auto"/>
          <w:spacing w:val="20"/>
          <w:highlight w:val="none"/>
          <w:lang w:eastAsia="zh-CN"/>
        </w:rPr>
        <w:t>）</w:t>
      </w:r>
      <w:r>
        <w:rPr>
          <w:color w:val="auto"/>
          <w:spacing w:val="20"/>
          <w:highlight w:val="none"/>
        </w:rPr>
        <w:t>在职人</w:t>
      </w:r>
      <w:r>
        <w:rPr>
          <w:rFonts w:hint="eastAsia"/>
          <w:color w:val="auto"/>
          <w:spacing w:val="20"/>
          <w:highlight w:val="none"/>
          <w:lang w:eastAsia="zh-CN"/>
        </w:rPr>
        <w:t>员</w:t>
      </w:r>
      <w:r>
        <w:rPr>
          <w:color w:val="auto"/>
          <w:spacing w:val="20"/>
          <w:highlight w:val="none"/>
        </w:rPr>
        <w:t>小计</w:t>
      </w:r>
      <w:r>
        <w:rPr>
          <w:rFonts w:hint="eastAsia"/>
          <w:color w:val="auto"/>
          <w:spacing w:val="20"/>
          <w:highlight w:val="none"/>
          <w:lang w:val="en-US" w:eastAsia="zh-CN"/>
        </w:rPr>
        <w:t>341</w:t>
      </w:r>
      <w:r>
        <w:rPr>
          <w:color w:val="auto"/>
          <w:spacing w:val="20"/>
          <w:highlight w:val="none"/>
        </w:rPr>
        <w:t>人，</w:t>
      </w:r>
      <w:r>
        <w:rPr>
          <w:color w:val="auto"/>
          <w:spacing w:val="17"/>
          <w:highlight w:val="none"/>
        </w:rPr>
        <w:t>包括行政人员3</w:t>
      </w:r>
      <w:r>
        <w:rPr>
          <w:rFonts w:hint="eastAsia"/>
          <w:color w:val="auto"/>
          <w:spacing w:val="17"/>
          <w:highlight w:val="none"/>
          <w:lang w:val="en-US" w:eastAsia="zh-CN"/>
        </w:rPr>
        <w:t>6</w:t>
      </w:r>
      <w:r>
        <w:rPr>
          <w:color w:val="auto"/>
          <w:spacing w:val="17"/>
          <w:highlight w:val="none"/>
        </w:rPr>
        <w:t>人、参照公务员管理的事业</w:t>
      </w:r>
      <w:r>
        <w:rPr>
          <w:color w:val="auto"/>
          <w:spacing w:val="16"/>
          <w:highlight w:val="none"/>
        </w:rPr>
        <w:t>编制36人、</w:t>
      </w:r>
      <w:r>
        <w:rPr>
          <w:rFonts w:hint="eastAsia"/>
          <w:color w:val="auto"/>
          <w:spacing w:val="16"/>
          <w:highlight w:val="none"/>
        </w:rPr>
        <w:t>事业管理人员和专业技术人员</w:t>
      </w:r>
      <w:r>
        <w:rPr>
          <w:rFonts w:hint="eastAsia"/>
          <w:color w:val="auto"/>
          <w:spacing w:val="26"/>
          <w:highlight w:val="none"/>
          <w:lang w:val="en-US" w:eastAsia="zh-CN"/>
        </w:rPr>
        <w:t>269</w:t>
      </w:r>
      <w:r>
        <w:rPr>
          <w:color w:val="auto"/>
          <w:spacing w:val="26"/>
          <w:highlight w:val="none"/>
        </w:rPr>
        <w:t>人</w:t>
      </w:r>
      <w:r>
        <w:rPr>
          <w:rFonts w:hint="eastAsia"/>
          <w:color w:val="auto"/>
          <w:spacing w:val="26"/>
          <w:highlight w:val="none"/>
          <w:lang w:eastAsia="zh-CN"/>
        </w:rPr>
        <w:t>；（</w:t>
      </w:r>
      <w:r>
        <w:rPr>
          <w:rFonts w:hint="eastAsia"/>
          <w:color w:val="auto"/>
          <w:spacing w:val="26"/>
          <w:highlight w:val="none"/>
          <w:lang w:val="en-US" w:eastAsia="zh-CN"/>
        </w:rPr>
        <w:t>2</w:t>
      </w:r>
      <w:r>
        <w:rPr>
          <w:rFonts w:hint="eastAsia"/>
          <w:color w:val="auto"/>
          <w:spacing w:val="26"/>
          <w:highlight w:val="none"/>
          <w:lang w:eastAsia="zh-CN"/>
        </w:rPr>
        <w:t>）</w:t>
      </w:r>
      <w:r>
        <w:rPr>
          <w:rFonts w:hint="eastAsia"/>
          <w:color w:val="auto"/>
          <w:spacing w:val="26"/>
          <w:highlight w:val="none"/>
          <w:lang w:val="en-US" w:eastAsia="zh-CN"/>
        </w:rPr>
        <w:t>其他人员小计11人，包括</w:t>
      </w:r>
      <w:r>
        <w:rPr>
          <w:rFonts w:hint="eastAsia"/>
          <w:color w:val="auto"/>
          <w:spacing w:val="26"/>
          <w:highlight w:val="none"/>
        </w:rPr>
        <w:t>其他财政拨款开支人员</w:t>
      </w:r>
      <w:r>
        <w:rPr>
          <w:color w:val="auto"/>
          <w:spacing w:val="26"/>
          <w:highlight w:val="none"/>
        </w:rPr>
        <w:t>人</w:t>
      </w:r>
      <w:r>
        <w:rPr>
          <w:rFonts w:hint="eastAsia"/>
          <w:color w:val="auto"/>
          <w:spacing w:val="26"/>
          <w:highlight w:val="none"/>
          <w:lang w:val="en-US" w:eastAsia="zh-CN"/>
        </w:rPr>
        <w:t>11人</w:t>
      </w:r>
      <w:r>
        <w:rPr>
          <w:color w:val="auto"/>
          <w:spacing w:val="26"/>
          <w:highlight w:val="none"/>
        </w:rPr>
        <w:t>；</w:t>
      </w:r>
      <w:r>
        <w:rPr>
          <w:rFonts w:hint="eastAsia"/>
          <w:color w:val="auto"/>
          <w:spacing w:val="26"/>
          <w:highlight w:val="none"/>
          <w:lang w:eastAsia="zh-CN"/>
        </w:rPr>
        <w:t>（</w:t>
      </w:r>
      <w:r>
        <w:rPr>
          <w:rFonts w:hint="eastAsia"/>
          <w:color w:val="auto"/>
          <w:spacing w:val="26"/>
          <w:highlight w:val="none"/>
          <w:lang w:val="en-US" w:eastAsia="zh-CN"/>
        </w:rPr>
        <w:t>3</w:t>
      </w:r>
      <w:r>
        <w:rPr>
          <w:rFonts w:hint="eastAsia"/>
          <w:color w:val="auto"/>
          <w:spacing w:val="26"/>
          <w:highlight w:val="none"/>
          <w:lang w:eastAsia="zh-CN"/>
        </w:rPr>
        <w:t>）</w:t>
      </w:r>
      <w:r>
        <w:rPr>
          <w:color w:val="auto"/>
          <w:spacing w:val="26"/>
          <w:highlight w:val="none"/>
        </w:rPr>
        <w:t>退休</w:t>
      </w:r>
      <w:r>
        <w:rPr>
          <w:color w:val="auto"/>
          <w:spacing w:val="25"/>
          <w:highlight w:val="none"/>
        </w:rPr>
        <w:t>人员</w:t>
      </w:r>
      <w:r>
        <w:rPr>
          <w:color w:val="auto"/>
          <w:spacing w:val="6"/>
          <w:highlight w:val="none"/>
        </w:rPr>
        <w:t>3</w:t>
      </w:r>
      <w:r>
        <w:rPr>
          <w:rFonts w:hint="eastAsia"/>
          <w:color w:val="auto"/>
          <w:spacing w:val="6"/>
          <w:highlight w:val="none"/>
          <w:lang w:val="en-US" w:eastAsia="zh-CN"/>
        </w:rPr>
        <w:t>58</w:t>
      </w:r>
      <w:r>
        <w:rPr>
          <w:color w:val="auto"/>
          <w:spacing w:val="6"/>
          <w:highlight w:val="none"/>
        </w:rPr>
        <w:t>人</w:t>
      </w:r>
      <w:r>
        <w:rPr>
          <w:rFonts w:hint="eastAsia"/>
          <w:color w:val="auto"/>
          <w:spacing w:val="6"/>
          <w:highlight w:val="none"/>
          <w:lang w:eastAsia="zh-CN"/>
        </w:rPr>
        <w:t>；（</w:t>
      </w:r>
      <w:r>
        <w:rPr>
          <w:rFonts w:hint="eastAsia"/>
          <w:color w:val="auto"/>
          <w:spacing w:val="6"/>
          <w:highlight w:val="none"/>
          <w:lang w:val="en-US" w:eastAsia="zh-CN"/>
        </w:rPr>
        <w:t>4</w:t>
      </w:r>
      <w:r>
        <w:rPr>
          <w:rFonts w:hint="eastAsia"/>
          <w:color w:val="auto"/>
          <w:spacing w:val="6"/>
          <w:highlight w:val="none"/>
          <w:lang w:eastAsia="zh-CN"/>
        </w:rPr>
        <w:t>）遗属人员</w:t>
      </w:r>
      <w:r>
        <w:rPr>
          <w:rFonts w:hint="eastAsia"/>
          <w:color w:val="auto"/>
          <w:spacing w:val="6"/>
          <w:highlight w:val="none"/>
          <w:lang w:val="en-US" w:eastAsia="zh-CN"/>
        </w:rPr>
        <w:t>1</w:t>
      </w:r>
      <w:r>
        <w:rPr>
          <w:rFonts w:hint="eastAsia"/>
          <w:color w:val="auto"/>
          <w:spacing w:val="6"/>
          <w:highlight w:val="none"/>
          <w:lang w:eastAsia="zh-CN"/>
        </w:rPr>
        <w:t>人</w:t>
      </w:r>
      <w:r>
        <w:rPr>
          <w:color w:val="auto"/>
          <w:spacing w:val="6"/>
          <w:highlight w:val="none"/>
        </w:rPr>
        <w:t>。</w:t>
      </w:r>
    </w:p>
    <w:p>
      <w:pPr>
        <w:keepNext w:val="0"/>
        <w:keepLines w:val="0"/>
        <w:pageBreakBefore w:val="0"/>
        <w:kinsoku/>
        <w:wordWrap/>
        <w:overflowPunct/>
        <w:topLinePunct w:val="0"/>
        <w:autoSpaceDE w:val="0"/>
        <w:autoSpaceDN w:val="0"/>
        <w:bidi w:val="0"/>
        <w:adjustRightInd/>
        <w:snapToGrid/>
        <w:spacing w:before="0" w:after="0" w:line="360" w:lineRule="auto"/>
        <w:ind w:left="0" w:leftChars="0" w:firstLine="642" w:firstLineChars="200"/>
        <w:outlineLvl w:val="9"/>
        <w:rPr>
          <w:rFonts w:hint="eastAsia"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4.部门资产情况</w:t>
      </w:r>
    </w:p>
    <w:p>
      <w:pPr>
        <w:pStyle w:val="4"/>
        <w:keepNext w:val="0"/>
        <w:keepLines w:val="0"/>
        <w:pageBreakBefore w:val="0"/>
        <w:kinsoku/>
        <w:overflowPunct/>
        <w:topLinePunct w:val="0"/>
        <w:bidi w:val="0"/>
        <w:adjustRightInd/>
        <w:snapToGrid/>
        <w:spacing w:before="0" w:after="0" w:line="360" w:lineRule="auto"/>
        <w:ind w:left="0" w:leftChars="0" w:firstLine="650"/>
        <w:jc w:val="both"/>
        <w:rPr>
          <w:rFonts w:hint="default" w:ascii="仿宋_GB2312" w:hAnsi="仿宋_GB2312" w:eastAsia="仿宋_GB2312" w:cs="仿宋_GB2312"/>
          <w:b w:val="0"/>
          <w:bCs w:val="0"/>
          <w:color w:val="auto"/>
          <w:sz w:val="32"/>
          <w:szCs w:val="32"/>
          <w:highlight w:val="none"/>
          <w:lang w:val="en-US" w:eastAsia="zh-CN" w:bidi="zh-CN"/>
        </w:rPr>
      </w:pPr>
      <w:r>
        <w:rPr>
          <w:rFonts w:hint="default" w:ascii="仿宋_GB2312" w:hAnsi="仿宋_GB2312" w:eastAsia="仿宋_GB2312" w:cs="仿宋_GB2312"/>
          <w:b w:val="0"/>
          <w:bCs w:val="0"/>
          <w:color w:val="auto"/>
          <w:sz w:val="32"/>
          <w:szCs w:val="32"/>
          <w:highlight w:val="none"/>
          <w:lang w:val="en-US" w:eastAsia="zh-CN" w:bidi="zh-CN"/>
        </w:rPr>
        <w:t>截至</w:t>
      </w:r>
      <w:r>
        <w:rPr>
          <w:rFonts w:hint="eastAsia" w:ascii="仿宋_GB2312" w:hAnsi="仿宋_GB2312" w:eastAsia="仿宋_GB2312" w:cs="仿宋_GB2312"/>
          <w:b w:val="0"/>
          <w:bCs w:val="0"/>
          <w:color w:val="auto"/>
          <w:sz w:val="32"/>
          <w:szCs w:val="32"/>
          <w:highlight w:val="none"/>
          <w:lang w:val="en-US" w:eastAsia="zh-CN" w:bidi="zh-CN"/>
        </w:rPr>
        <w:t>202</w:t>
      </w:r>
      <w:r>
        <w:rPr>
          <w:rFonts w:hint="eastAsia" w:cs="仿宋_GB2312"/>
          <w:b w:val="0"/>
          <w:bCs w:val="0"/>
          <w:color w:val="auto"/>
          <w:sz w:val="32"/>
          <w:szCs w:val="32"/>
          <w:highlight w:val="none"/>
          <w:lang w:val="en-US" w:eastAsia="zh-CN" w:bidi="zh-CN"/>
        </w:rPr>
        <w:t>5</w:t>
      </w:r>
      <w:r>
        <w:rPr>
          <w:rFonts w:hint="eastAsia" w:ascii="仿宋_GB2312" w:hAnsi="仿宋_GB2312" w:eastAsia="仿宋_GB2312" w:cs="仿宋_GB2312"/>
          <w:b w:val="0"/>
          <w:bCs w:val="0"/>
          <w:color w:val="auto"/>
          <w:sz w:val="32"/>
          <w:szCs w:val="32"/>
          <w:highlight w:val="none"/>
          <w:lang w:val="en-US" w:eastAsia="zh-CN" w:bidi="zh-CN"/>
        </w:rPr>
        <w:t>年12月31日</w:t>
      </w:r>
      <w:r>
        <w:rPr>
          <w:rFonts w:hint="default" w:ascii="仿宋_GB2312" w:hAnsi="仿宋_GB2312" w:eastAsia="仿宋_GB2312" w:cs="仿宋_GB2312"/>
          <w:b w:val="0"/>
          <w:bCs w:val="0"/>
          <w:color w:val="auto"/>
          <w:sz w:val="32"/>
          <w:szCs w:val="32"/>
          <w:highlight w:val="none"/>
          <w:lang w:val="en-US" w:eastAsia="zh-CN" w:bidi="zh-CN"/>
        </w:rPr>
        <w:t>，</w:t>
      </w:r>
      <w:r>
        <w:rPr>
          <w:rFonts w:hint="eastAsia" w:ascii="仿宋_GB2312" w:hAnsi="仿宋_GB2312" w:eastAsia="仿宋_GB2312" w:cs="仿宋_GB2312"/>
          <w:b w:val="0"/>
          <w:bCs w:val="0"/>
          <w:color w:val="auto"/>
          <w:sz w:val="32"/>
          <w:szCs w:val="32"/>
          <w:highlight w:val="none"/>
          <w:lang w:val="en-US" w:eastAsia="zh-CN" w:bidi="zh-CN"/>
        </w:rPr>
        <w:t>该局</w:t>
      </w:r>
      <w:r>
        <w:rPr>
          <w:rFonts w:hint="default" w:ascii="仿宋_GB2312" w:hAnsi="仿宋_GB2312" w:eastAsia="仿宋_GB2312" w:cs="仿宋_GB2312"/>
          <w:b w:val="0"/>
          <w:bCs w:val="0"/>
          <w:color w:val="auto"/>
          <w:sz w:val="32"/>
          <w:szCs w:val="32"/>
          <w:highlight w:val="none"/>
          <w:lang w:val="en-US" w:eastAsia="zh-CN" w:bidi="zh-CN"/>
        </w:rPr>
        <w:t>资产总额为93,067.28万元，其中，货币资金2,522.16万元，固定资产净值43,316.90万元，在建工程47,228.22</w:t>
      </w:r>
      <w:r>
        <w:rPr>
          <w:rFonts w:hint="eastAsia" w:ascii="仿宋_GB2312" w:hAnsi="仿宋_GB2312" w:eastAsia="仿宋_GB2312" w:cs="仿宋_GB2312"/>
          <w:b w:val="0"/>
          <w:bCs w:val="0"/>
          <w:color w:val="auto"/>
          <w:sz w:val="32"/>
          <w:szCs w:val="32"/>
          <w:highlight w:val="none"/>
          <w:lang w:val="en-US" w:eastAsia="zh-CN" w:bidi="zh-CN"/>
        </w:rPr>
        <w:t>万元</w:t>
      </w:r>
      <w:r>
        <w:rPr>
          <w:rFonts w:hint="eastAsia" w:cs="仿宋_GB2312"/>
          <w:b w:val="0"/>
          <w:bCs w:val="0"/>
          <w:color w:val="auto"/>
          <w:sz w:val="32"/>
          <w:szCs w:val="32"/>
          <w:highlight w:val="none"/>
          <w:lang w:val="en-US" w:eastAsia="zh-CN" w:bidi="zh-CN"/>
        </w:rPr>
        <w:t>。</w:t>
      </w:r>
      <w:r>
        <w:rPr>
          <w:rFonts w:hint="default" w:ascii="仿宋_GB2312" w:hAnsi="仿宋_GB2312" w:eastAsia="仿宋_GB2312" w:cs="仿宋_GB2312"/>
          <w:b w:val="0"/>
          <w:bCs w:val="0"/>
          <w:color w:val="auto"/>
          <w:sz w:val="32"/>
          <w:szCs w:val="32"/>
          <w:highlight w:val="none"/>
          <w:lang w:val="en-US" w:eastAsia="zh-CN" w:bidi="zh-CN"/>
        </w:rPr>
        <w:t>资产</w:t>
      </w:r>
      <w:r>
        <w:rPr>
          <w:rFonts w:hint="eastAsia" w:cs="仿宋_GB2312"/>
          <w:b w:val="0"/>
          <w:bCs w:val="0"/>
          <w:color w:val="auto"/>
          <w:sz w:val="32"/>
          <w:szCs w:val="32"/>
          <w:highlight w:val="none"/>
          <w:lang w:val="en-US" w:eastAsia="zh-CN" w:bidi="zh-CN"/>
        </w:rPr>
        <w:t>明细</w:t>
      </w:r>
      <w:r>
        <w:rPr>
          <w:rFonts w:hint="default" w:ascii="仿宋_GB2312" w:hAnsi="仿宋_GB2312" w:eastAsia="仿宋_GB2312" w:cs="仿宋_GB2312"/>
          <w:b w:val="0"/>
          <w:bCs w:val="0"/>
          <w:color w:val="auto"/>
          <w:sz w:val="32"/>
          <w:szCs w:val="32"/>
          <w:highlight w:val="none"/>
          <w:lang w:val="en-US" w:eastAsia="zh-CN" w:bidi="zh-CN"/>
        </w:rPr>
        <w:t>情况如下表所示：</w:t>
      </w:r>
    </w:p>
    <w:p>
      <w:pPr>
        <w:keepNext w:val="0"/>
        <w:keepLines w:val="0"/>
        <w:pageBreakBefore w:val="0"/>
        <w:kinsoku/>
        <w:wordWrap/>
        <w:overflowPunct/>
        <w:topLinePunct w:val="0"/>
        <w:autoSpaceDE w:val="0"/>
        <w:autoSpaceDN w:val="0"/>
        <w:bidi w:val="0"/>
        <w:adjustRightInd/>
        <w:snapToGrid/>
        <w:spacing w:before="0" w:after="0" w:line="360" w:lineRule="auto"/>
        <w:ind w:left="0" w:leftChars="0"/>
        <w:jc w:val="center"/>
        <w:outlineLvl w:val="9"/>
        <w:rPr>
          <w:rFonts w:hint="default"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南昌市民政局部门2025年度</w:t>
      </w:r>
      <w:r>
        <w:rPr>
          <w:rFonts w:hint="default" w:ascii="仿宋_GB2312" w:hAnsi="仿宋_GB2312" w:eastAsia="仿宋_GB2312" w:cs="仿宋_GB2312"/>
          <w:b/>
          <w:bCs/>
          <w:color w:val="auto"/>
          <w:sz w:val="32"/>
          <w:szCs w:val="32"/>
          <w:highlight w:val="none"/>
          <w:lang w:val="en-US" w:eastAsia="zh-CN" w:bidi="zh-CN"/>
        </w:rPr>
        <w:t>资产明细表</w:t>
      </w:r>
    </w:p>
    <w:tbl>
      <w:tblPr>
        <w:tblStyle w:val="15"/>
        <w:tblpPr w:leftFromText="180" w:rightFromText="180" w:vertAnchor="text" w:horzAnchor="page" w:tblpX="1785" w:tblpY="545"/>
        <w:tblOverlap w:val="never"/>
        <w:tblW w:w="85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72"/>
        <w:gridCol w:w="2190"/>
        <w:gridCol w:w="20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4272" w:type="dxa"/>
            <w:tcBorders>
              <w:top w:val="single" w:color="000000" w:sz="4" w:space="0"/>
              <w:left w:val="single" w:color="000000" w:sz="4" w:space="0"/>
              <w:bottom w:val="single" w:color="000000" w:sz="4" w:space="0"/>
              <w:right w:val="single" w:color="000000" w:sz="4" w:space="0"/>
            </w:tcBorders>
            <w:shd w:val="clear" w:color="auto" w:fill="D8D8D8"/>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center"/>
              <w:textAlignment w:val="center"/>
              <w:outlineLvl w:val="9"/>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项目</w:t>
            </w:r>
          </w:p>
        </w:tc>
        <w:tc>
          <w:tcPr>
            <w:tcW w:w="2190" w:type="dxa"/>
            <w:tcBorders>
              <w:top w:val="single" w:color="000000" w:sz="4" w:space="0"/>
              <w:left w:val="single" w:color="000000" w:sz="4" w:space="0"/>
              <w:bottom w:val="single" w:color="000000" w:sz="4" w:space="0"/>
              <w:right w:val="single" w:color="000000" w:sz="4" w:space="0"/>
            </w:tcBorders>
            <w:shd w:val="clear" w:color="auto" w:fill="D8D8D8"/>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center"/>
              <w:textAlignment w:val="center"/>
              <w:outlineLvl w:val="9"/>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年初数</w:t>
            </w:r>
          </w:p>
        </w:tc>
        <w:tc>
          <w:tcPr>
            <w:tcW w:w="2057" w:type="dxa"/>
            <w:tcBorders>
              <w:top w:val="single" w:color="000000" w:sz="4" w:space="0"/>
              <w:left w:val="single" w:color="000000" w:sz="4" w:space="0"/>
              <w:bottom w:val="single" w:color="000000" w:sz="4" w:space="0"/>
              <w:right w:val="single" w:color="000000" w:sz="4" w:space="0"/>
            </w:tcBorders>
            <w:shd w:val="clear" w:color="auto" w:fill="D8D8D8"/>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center"/>
              <w:textAlignment w:val="center"/>
              <w:outlineLvl w:val="9"/>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年末数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（一）货币资金</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4,165.43 </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2,522.16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其中：银行存款</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4,165.43 </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2,522.16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（二）财政应返还额度</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（三）固定资产原值</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56,424.15 </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57,452.39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其中：房屋（平方米）</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148,711.39 </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150,357.40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w:t>
            </w:r>
            <w:r>
              <w:rPr>
                <w:rFonts w:hint="eastAsia" w:cs="宋体"/>
                <w:i w:val="0"/>
                <w:iCs w:val="0"/>
                <w:color w:val="auto"/>
                <w:kern w:val="0"/>
                <w:sz w:val="24"/>
                <w:szCs w:val="24"/>
                <w:highlight w:val="none"/>
                <w:u w:val="non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1.办公用房</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7,376.83 </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7,376.83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w:t>
            </w:r>
            <w:r>
              <w:rPr>
                <w:rFonts w:hint="eastAsia" w:cs="宋体"/>
                <w:i w:val="0"/>
                <w:iCs w:val="0"/>
                <w:color w:val="auto"/>
                <w:kern w:val="0"/>
                <w:sz w:val="24"/>
                <w:szCs w:val="24"/>
                <w:highlight w:val="none"/>
                <w:u w:val="non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 xml:space="preserve"> 2.业务用房</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131,766.63 </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131,766.63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w:t>
            </w:r>
            <w:r>
              <w:rPr>
                <w:rFonts w:hint="eastAsia" w:cs="宋体"/>
                <w:i w:val="0"/>
                <w:iCs w:val="0"/>
                <w:color w:val="auto"/>
                <w:kern w:val="0"/>
                <w:sz w:val="24"/>
                <w:szCs w:val="24"/>
                <w:highlight w:val="none"/>
                <w:u w:val="non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 xml:space="preserve"> 3.其他</w:t>
            </w:r>
            <w:r>
              <w:rPr>
                <w:rFonts w:hint="eastAsia" w:cs="宋体"/>
                <w:i w:val="0"/>
                <w:iCs w:val="0"/>
                <w:color w:val="auto"/>
                <w:kern w:val="0"/>
                <w:sz w:val="24"/>
                <w:szCs w:val="24"/>
                <w:highlight w:val="none"/>
                <w:u w:val="none"/>
                <w:lang w:val="en-US" w:eastAsia="zh-CN" w:bidi="ar"/>
              </w:rPr>
              <w:t>用房</w:t>
            </w:r>
            <w:r>
              <w:rPr>
                <w:rFonts w:hint="eastAsia" w:ascii="宋体" w:hAnsi="宋体" w:eastAsia="宋体" w:cs="宋体"/>
                <w:i w:val="0"/>
                <w:iCs w:val="0"/>
                <w:color w:val="auto"/>
                <w:kern w:val="0"/>
                <w:sz w:val="24"/>
                <w:szCs w:val="24"/>
                <w:highlight w:val="none"/>
                <w:u w:val="none"/>
                <w:lang w:val="en-US" w:eastAsia="zh-CN" w:bidi="ar"/>
              </w:rPr>
              <w:t>（不含构筑物）</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9,567.93 </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11,213.94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车辆（台、辆）</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58</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bookmarkStart w:id="5" w:name="OLE_LINK1" w:colFirst="0" w:colLast="0"/>
            <w:r>
              <w:rPr>
                <w:rFonts w:hint="eastAsia" w:ascii="宋体" w:hAnsi="宋体" w:eastAsia="宋体" w:cs="宋体"/>
                <w:i w:val="0"/>
                <w:iCs w:val="0"/>
                <w:color w:val="auto"/>
                <w:kern w:val="0"/>
                <w:sz w:val="24"/>
                <w:szCs w:val="24"/>
                <w:highlight w:val="none"/>
                <w:u w:val="none"/>
                <w:lang w:val="en-US" w:eastAsia="zh-CN" w:bidi="ar"/>
              </w:rPr>
              <w:t xml:space="preserve">              1.轿车</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2.应急保障用车</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3.特种专业技术用车</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4.大中型载客汽车</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5.其他车型</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54</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53</w:t>
            </w:r>
          </w:p>
        </w:tc>
      </w:tr>
      <w:bookmarkEnd w:id="5"/>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减：固定资产累计折旧</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12,279.65 </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14,135.50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固定资产净值</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44,144.50 </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43,316.90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after="0" w:line="360" w:lineRule="auto"/>
              <w:ind w:left="0" w:leftChars="0"/>
              <w:jc w:val="left"/>
              <w:textAlignment w:val="center"/>
              <w:outlineLvl w:val="9"/>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（四）在建工程</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33,895.88 </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47,228.22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napToGrid/>
              <w:spacing w:before="0" w:after="0" w:line="360" w:lineRule="auto"/>
              <w:ind w:left="0" w:leftChars="0" w:right="0" w:rightChars="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资产总计</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82,205.81</w:t>
            </w:r>
          </w:p>
        </w:tc>
        <w:tc>
          <w:tcPr>
            <w:tcW w:w="2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adjustRightInd/>
              <w:spacing w:before="0" w:after="0" w:line="360" w:lineRule="auto"/>
              <w:ind w:left="0" w:leftChars="0" w:right="0" w:rightChars="0"/>
              <w:jc w:val="righ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93,067.28</w:t>
            </w:r>
          </w:p>
        </w:tc>
      </w:tr>
    </w:tbl>
    <w:p>
      <w:pPr>
        <w:pStyle w:val="10"/>
        <w:keepNext w:val="0"/>
        <w:keepLines w:val="0"/>
        <w:pageBreakBefore w:val="0"/>
        <w:widowControl w:val="0"/>
        <w:numPr>
          <w:ilvl w:val="0"/>
          <w:numId w:val="1"/>
        </w:numPr>
        <w:kinsoku/>
        <w:wordWrap/>
        <w:overflowPunct/>
        <w:topLinePunct w:val="0"/>
        <w:autoSpaceDE w:val="0"/>
        <w:autoSpaceDN w:val="0"/>
        <w:bidi w:val="0"/>
        <w:adjustRightInd/>
        <w:snapToGrid/>
        <w:spacing w:before="0" w:after="0" w:line="360" w:lineRule="auto"/>
        <w:ind w:left="0" w:leftChars="0"/>
        <w:textAlignment w:val="auto"/>
        <w:outlineLvl w:val="1"/>
        <w:rPr>
          <w:rFonts w:hint="eastAsia" w:ascii="楷体_GB2312" w:hAnsi="楷体_GB2312" w:eastAsia="楷体_GB2312" w:cs="楷体_GB2312"/>
          <w:b/>
          <w:bCs/>
          <w:color w:val="auto"/>
          <w:sz w:val="32"/>
          <w:szCs w:val="32"/>
          <w:highlight w:val="none"/>
        </w:rPr>
      </w:pPr>
      <w:bookmarkStart w:id="6" w:name="_Toc19522"/>
      <w:r>
        <w:rPr>
          <w:rFonts w:hint="eastAsia" w:ascii="楷体_GB2312" w:hAnsi="楷体_GB2312" w:eastAsia="楷体_GB2312" w:cs="楷体_GB2312"/>
          <w:b/>
          <w:bCs/>
          <w:color w:val="auto"/>
          <w:sz w:val="32"/>
          <w:szCs w:val="32"/>
          <w:highlight w:val="none"/>
        </w:rPr>
        <w:t>当年部门履职总体目标、工作任务</w:t>
      </w:r>
      <w:bookmarkEnd w:id="6"/>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2" w:firstLineChars="200"/>
        <w:textAlignment w:val="auto"/>
        <w:rPr>
          <w:rFonts w:hint="default"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1.部门2025年度总体目标</w:t>
      </w:r>
    </w:p>
    <w:p>
      <w:pPr>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2025年，全市民政系统坚持以习近平新时代中国特色社会主义思想为指导，全面贯彻省委、省政府及市委、市政府决策部署，严格落实省民政厅工作要求，紧扣民生保障、服务提质、改革创新等重点任务，扎实推进各项工作取得成效，推动省会民政事业高质量发展。</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2" w:firstLineChars="200"/>
        <w:textAlignment w:val="auto"/>
        <w:rPr>
          <w:rFonts w:hint="default"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2.部门2025年度工作任务</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bidi="zh-CN"/>
        </w:rPr>
      </w:pPr>
      <w:bookmarkStart w:id="7" w:name="_Toc10378"/>
      <w:r>
        <w:rPr>
          <w:rFonts w:hint="eastAsia" w:ascii="仿宋_GB2312" w:hAnsi="仿宋_GB2312" w:eastAsia="仿宋_GB2312" w:cs="仿宋_GB2312"/>
          <w:color w:val="auto"/>
          <w:sz w:val="32"/>
          <w:szCs w:val="32"/>
          <w:highlight w:val="none"/>
          <w:lang w:val="en-US" w:eastAsia="zh-CN" w:bidi="zh-CN"/>
        </w:rPr>
        <w:t>一是养老服务工作要开新局。推动老龄事业和养老服务全面提档，开展养老服务提质升级、银发经济创新发展、老年社会参与扩面“三大行动”。二是儿童福利工作要谋新篇。扎实开展留守儿童和流动儿童监测摸排和统计分析，加强政策创新、方法创新，积极探索具有南昌特色的工作品牌。三是社会事务工作要扬优势。深入实施“精康融合行动”，推动县（市、区）精神障碍社区康复服务全覆盖。加强服务阵地建设。四是福彩销售要稳增长。要千方百计提高销量。加大营销力度，强化正面宣传，用公众喜闻乐见的方式，不断深化公益宣传，提升福彩形象。五是慈善事业发展要重规范。要转变传统的慈善思维，创新慈善募捐方式，不断开辟募捐新渠道，做大慈善募捐体量。六是社会组织发展要有新成效。要提升社会组织党建工作质量。</w:t>
      </w:r>
    </w:p>
    <w:p>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firstLine="642" w:firstLineChars="200"/>
        <w:textAlignment w:val="auto"/>
        <w:outlineLvl w:val="1"/>
        <w:rPr>
          <w:rFonts w:hint="default" w:ascii="楷体_GB2312" w:hAnsi="楷体_GB2312" w:eastAsia="楷体_GB2312" w:cs="楷体_GB2312"/>
          <w:b/>
          <w:bCs/>
          <w:color w:val="auto"/>
          <w:sz w:val="32"/>
          <w:szCs w:val="32"/>
          <w:highlight w:val="none"/>
          <w:lang w:val="en-US" w:eastAsia="zh-CN" w:bidi="zh-CN"/>
        </w:rPr>
      </w:pPr>
      <w:r>
        <w:rPr>
          <w:rFonts w:hint="default" w:ascii="楷体_GB2312" w:hAnsi="楷体_GB2312" w:eastAsia="楷体_GB2312" w:cs="楷体_GB2312"/>
          <w:b/>
          <w:bCs/>
          <w:color w:val="auto"/>
          <w:sz w:val="32"/>
          <w:szCs w:val="32"/>
          <w:highlight w:val="none"/>
          <w:lang w:val="en-US" w:eastAsia="zh-CN" w:bidi="zh-CN"/>
        </w:rPr>
        <w:t>（三）当年部门年度整体支出绩效目标</w:t>
      </w:r>
      <w:bookmarkEnd w:id="7"/>
    </w:p>
    <w:p>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firstLine="640" w:firstLineChars="200"/>
        <w:textAlignment w:val="auto"/>
        <w:rPr>
          <w:rFonts w:hint="default" w:ascii="仿宋_GB2312" w:hAnsi="仿宋_GB2312" w:eastAsia="仿宋_GB2312" w:cs="仿宋_GB2312"/>
          <w:color w:val="auto"/>
          <w:sz w:val="32"/>
          <w:szCs w:val="32"/>
          <w:highlight w:val="none"/>
          <w:lang w:val="en-US" w:eastAsia="zh-CN" w:bidi="zh-CN"/>
        </w:rPr>
      </w:pPr>
      <w:r>
        <w:rPr>
          <w:rFonts w:hint="default" w:ascii="仿宋_GB2312" w:hAnsi="仿宋_GB2312" w:eastAsia="仿宋_GB2312" w:cs="仿宋_GB2312"/>
          <w:color w:val="auto"/>
          <w:sz w:val="32"/>
          <w:szCs w:val="32"/>
          <w:highlight w:val="none"/>
          <w:lang w:val="en-US" w:eastAsia="zh-CN" w:bidi="zh-CN"/>
        </w:rPr>
        <w:t>根据202</w:t>
      </w:r>
      <w:r>
        <w:rPr>
          <w:rFonts w:hint="eastAsia" w:cs="仿宋_GB2312"/>
          <w:color w:val="auto"/>
          <w:sz w:val="32"/>
          <w:szCs w:val="32"/>
          <w:highlight w:val="none"/>
          <w:lang w:val="en-US" w:eastAsia="zh-CN" w:bidi="zh-CN"/>
        </w:rPr>
        <w:t>5</w:t>
      </w:r>
      <w:r>
        <w:rPr>
          <w:rFonts w:hint="default" w:ascii="仿宋_GB2312" w:hAnsi="仿宋_GB2312" w:eastAsia="仿宋_GB2312" w:cs="仿宋_GB2312"/>
          <w:color w:val="auto"/>
          <w:sz w:val="32"/>
          <w:szCs w:val="32"/>
          <w:highlight w:val="none"/>
          <w:lang w:val="en-US" w:eastAsia="zh-CN" w:bidi="zh-CN"/>
        </w:rPr>
        <w:t>年度部门预算资金安排及预期达成的效果，结合</w:t>
      </w:r>
      <w:r>
        <w:rPr>
          <w:rFonts w:hint="eastAsia" w:cs="仿宋_GB2312"/>
          <w:color w:val="auto"/>
          <w:sz w:val="32"/>
          <w:szCs w:val="32"/>
          <w:highlight w:val="none"/>
          <w:lang w:val="en-US" w:eastAsia="zh-CN" w:bidi="zh-CN"/>
        </w:rPr>
        <w:t>我局年度</w:t>
      </w:r>
      <w:r>
        <w:rPr>
          <w:rFonts w:hint="default" w:ascii="仿宋_GB2312" w:hAnsi="仿宋_GB2312" w:eastAsia="仿宋_GB2312" w:cs="仿宋_GB2312"/>
          <w:color w:val="auto"/>
          <w:sz w:val="32"/>
          <w:szCs w:val="32"/>
          <w:highlight w:val="none"/>
          <w:lang w:val="en-US" w:eastAsia="zh-CN" w:bidi="zh-CN"/>
        </w:rPr>
        <w:t>工作开展计划，设计了部门年度整体支出绩效目标，具体情况如下：</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2" w:firstLineChars="200"/>
        <w:textAlignment w:val="auto"/>
        <w:rPr>
          <w:rFonts w:hint="eastAsia"/>
          <w:b/>
          <w:bCs/>
          <w:color w:val="auto"/>
          <w:highlight w:val="none"/>
          <w:lang w:val="en-US" w:eastAsia="zh-CN"/>
        </w:rPr>
      </w:pPr>
      <w:r>
        <w:rPr>
          <w:rFonts w:hint="eastAsia"/>
          <w:b/>
          <w:bCs/>
          <w:color w:val="auto"/>
          <w:highlight w:val="none"/>
          <w:lang w:val="en-US" w:eastAsia="zh-CN"/>
        </w:rPr>
        <w:t>1.产出指标</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（1）数量</w:t>
      </w:r>
      <w:r>
        <w:rPr>
          <w:rFonts w:hint="eastAsia" w:cs="仿宋_GB2312"/>
          <w:color w:val="auto"/>
          <w:sz w:val="32"/>
          <w:szCs w:val="32"/>
          <w:highlight w:val="none"/>
          <w:lang w:val="en-US" w:eastAsia="zh-CN" w:bidi="zh-CN"/>
        </w:rPr>
        <w:t>指标</w:t>
      </w:r>
      <w:r>
        <w:rPr>
          <w:rFonts w:hint="eastAsia" w:ascii="仿宋_GB2312" w:hAnsi="仿宋_GB2312" w:eastAsia="仿宋_GB2312" w:cs="仿宋_GB2312"/>
          <w:color w:val="auto"/>
          <w:sz w:val="32"/>
          <w:szCs w:val="32"/>
          <w:highlight w:val="none"/>
          <w:lang w:val="en-US" w:eastAsia="zh-CN" w:bidi="zh-CN"/>
        </w:rPr>
        <w:t>：补助养老机构接收入住老年人数量</w:t>
      </w:r>
      <w:r>
        <w:rPr>
          <w:rFonts w:hint="eastAsia" w:cs="仿宋_GB2312"/>
          <w:color w:val="auto"/>
          <w:sz w:val="32"/>
          <w:szCs w:val="32"/>
          <w:highlight w:val="none"/>
          <w:lang w:val="en-US" w:eastAsia="zh-CN" w:bidi="zh-CN"/>
        </w:rPr>
        <w:t>达到18,000人次、城乡特困发放人数达到6,500人、流浪乞讨人员救助人数达到1,800人、接受各类社会救助申请家庭经济状况核查委托户次不低于261人、“五类”老年人服务人次不低于15,000人次、</w:t>
      </w:r>
      <w:r>
        <w:rPr>
          <w:rFonts w:hint="default" w:ascii="仿宋_GB2312" w:hAnsi="仿宋_GB2312" w:eastAsia="仿宋_GB2312" w:cs="仿宋_GB2312"/>
          <w:color w:val="auto"/>
          <w:sz w:val="32"/>
          <w:szCs w:val="32"/>
          <w:highlight w:val="none"/>
          <w:lang w:val="en-US" w:eastAsia="zh-CN" w:bidi="zh-CN"/>
        </w:rPr>
        <w:t>按摩院患者救治人数</w:t>
      </w:r>
      <w:r>
        <w:rPr>
          <w:rFonts w:hint="eastAsia" w:cs="仿宋_GB2312"/>
          <w:color w:val="auto"/>
          <w:sz w:val="32"/>
          <w:szCs w:val="32"/>
          <w:highlight w:val="none"/>
          <w:lang w:val="en-US" w:eastAsia="zh-CN" w:bidi="zh-CN"/>
        </w:rPr>
        <w:t>达到46562人次、骨灰安葬存放数量不低于900具、</w:t>
      </w:r>
      <w:r>
        <w:rPr>
          <w:rFonts w:hint="eastAsia" w:cs="仿宋_GB2312"/>
          <w:color w:val="000000"/>
          <w:sz w:val="32"/>
          <w:szCs w:val="32"/>
          <w:highlight w:val="none"/>
          <w:lang w:val="en-US" w:eastAsia="zh-CN" w:bidi="zh-CN"/>
        </w:rPr>
        <w:t>殡仪馆遗体火化数量不低于8,000具</w:t>
      </w:r>
      <w:r>
        <w:rPr>
          <w:rFonts w:hint="eastAsia" w:cs="仿宋_GB2312"/>
          <w:color w:val="auto"/>
          <w:sz w:val="32"/>
          <w:szCs w:val="32"/>
          <w:highlight w:val="none"/>
          <w:lang w:val="en-US" w:eastAsia="zh-CN" w:bidi="zh-CN"/>
        </w:rPr>
        <w:t>、城市网络标准化路牌制作数量达到320块、城乡低保发放人数达到103,500人。</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（2）质量</w:t>
      </w:r>
      <w:r>
        <w:rPr>
          <w:rFonts w:hint="eastAsia" w:cs="仿宋_GB2312"/>
          <w:color w:val="auto"/>
          <w:sz w:val="32"/>
          <w:szCs w:val="32"/>
          <w:highlight w:val="none"/>
          <w:lang w:val="en-US" w:eastAsia="zh-CN" w:bidi="zh-CN"/>
        </w:rPr>
        <w:t>指标</w:t>
      </w:r>
      <w:r>
        <w:rPr>
          <w:rFonts w:hint="eastAsia" w:ascii="仿宋_GB2312" w:hAnsi="仿宋_GB2312" w:eastAsia="仿宋_GB2312" w:cs="仿宋_GB2312"/>
          <w:color w:val="auto"/>
          <w:sz w:val="32"/>
          <w:szCs w:val="32"/>
          <w:highlight w:val="none"/>
          <w:lang w:val="en-US" w:eastAsia="zh-CN" w:bidi="zh-CN"/>
        </w:rPr>
        <w:t>：路牌制作达标率</w:t>
      </w:r>
      <w:r>
        <w:rPr>
          <w:rFonts w:hint="eastAsia" w:cs="仿宋_GB2312"/>
          <w:color w:val="auto"/>
          <w:sz w:val="32"/>
          <w:szCs w:val="32"/>
          <w:highlight w:val="none"/>
          <w:lang w:val="en-US" w:eastAsia="zh-CN" w:bidi="zh-CN"/>
        </w:rPr>
        <w:t>达到90%、火化遗体与骨灰存放及时准确、无差错率达到90%、养老机构补助准确率达到90</w:t>
      </w:r>
      <w:r>
        <w:rPr>
          <w:rFonts w:hint="eastAsia" w:ascii="仿宋_GB2312" w:hAnsi="仿宋_GB2312" w:eastAsia="仿宋_GB2312" w:cs="仿宋_GB2312"/>
          <w:color w:val="auto"/>
          <w:sz w:val="32"/>
          <w:szCs w:val="32"/>
          <w:highlight w:val="none"/>
          <w:lang w:val="en-US" w:eastAsia="zh-CN" w:bidi="zh-CN"/>
        </w:rPr>
        <w:t>%</w:t>
      </w:r>
      <w:r>
        <w:rPr>
          <w:rFonts w:hint="eastAsia" w:cs="仿宋_GB2312"/>
          <w:color w:val="auto"/>
          <w:sz w:val="32"/>
          <w:szCs w:val="32"/>
          <w:highlight w:val="none"/>
          <w:lang w:val="en-US" w:eastAsia="zh-CN" w:bidi="zh-CN"/>
        </w:rPr>
        <w:t>、各类人员救助、补助资金发放准确率达到90%、协助流浪乞讨人员返乡率达到100</w:t>
      </w:r>
      <w:r>
        <w:rPr>
          <w:rFonts w:hint="eastAsia" w:ascii="仿宋_GB2312" w:hAnsi="仿宋_GB2312" w:eastAsia="仿宋_GB2312" w:cs="仿宋_GB2312"/>
          <w:color w:val="auto"/>
          <w:sz w:val="32"/>
          <w:szCs w:val="32"/>
          <w:highlight w:val="none"/>
          <w:lang w:val="en-US" w:eastAsia="zh-CN" w:bidi="zh-CN"/>
        </w:rPr>
        <w:t>%</w:t>
      </w:r>
      <w:r>
        <w:rPr>
          <w:rFonts w:hint="eastAsia" w:cs="仿宋_GB2312"/>
          <w:color w:val="auto"/>
          <w:sz w:val="32"/>
          <w:szCs w:val="32"/>
          <w:highlight w:val="none"/>
          <w:lang w:val="en-US" w:eastAsia="zh-CN" w:bidi="zh-CN"/>
        </w:rPr>
        <w:t>、残疾儿童日常照料护理达标率达到90%、“五类”老年人服务达标率达到90%。</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rPr>
          <w:rFonts w:hint="eastAsia" w:cs="仿宋_GB2312"/>
          <w:color w:val="auto"/>
          <w:sz w:val="32"/>
          <w:szCs w:val="32"/>
          <w:highlight w:val="none"/>
          <w:lang w:val="en-US" w:eastAsia="zh-CN" w:bidi="zh-CN"/>
        </w:rPr>
      </w:pPr>
      <w:r>
        <w:rPr>
          <w:rFonts w:hint="eastAsia" w:cs="仿宋_GB2312"/>
          <w:color w:val="auto"/>
          <w:sz w:val="32"/>
          <w:szCs w:val="32"/>
          <w:highlight w:val="none"/>
          <w:lang w:val="en-US" w:eastAsia="zh-CN" w:bidi="zh-CN"/>
        </w:rPr>
        <w:t>（3）时效指标：</w:t>
      </w:r>
      <w:r>
        <w:rPr>
          <w:rFonts w:hint="eastAsia" w:ascii="仿宋_GB2312" w:hAnsi="仿宋_GB2312" w:eastAsia="仿宋_GB2312" w:cs="仿宋_GB2312"/>
          <w:color w:val="auto"/>
          <w:sz w:val="32"/>
          <w:szCs w:val="32"/>
          <w:highlight w:val="none"/>
          <w:lang w:val="en-US" w:eastAsia="zh-CN" w:bidi="zh-CN"/>
        </w:rPr>
        <w:t>在</w:t>
      </w:r>
      <w:r>
        <w:rPr>
          <w:rFonts w:hint="eastAsia" w:cs="仿宋_GB2312"/>
          <w:color w:val="auto"/>
          <w:sz w:val="32"/>
          <w:szCs w:val="32"/>
          <w:highlight w:val="none"/>
          <w:lang w:val="en-US" w:eastAsia="zh-CN" w:bidi="zh-CN"/>
        </w:rPr>
        <w:t>2025年12月31日</w:t>
      </w:r>
      <w:r>
        <w:rPr>
          <w:rFonts w:hint="eastAsia" w:ascii="仿宋_GB2312" w:hAnsi="仿宋_GB2312" w:eastAsia="仿宋_GB2312" w:cs="仿宋_GB2312"/>
          <w:color w:val="auto"/>
          <w:sz w:val="32"/>
          <w:szCs w:val="32"/>
          <w:highlight w:val="none"/>
          <w:lang w:val="en-US" w:eastAsia="zh-CN" w:bidi="zh-CN"/>
        </w:rPr>
        <w:t>前</w:t>
      </w:r>
      <w:r>
        <w:rPr>
          <w:rFonts w:hint="eastAsia" w:cs="仿宋_GB2312"/>
          <w:color w:val="auto"/>
          <w:sz w:val="32"/>
          <w:szCs w:val="32"/>
          <w:highlight w:val="none"/>
          <w:lang w:val="en-US" w:eastAsia="zh-CN" w:bidi="zh-CN"/>
        </w:rPr>
        <w:t>完成我局各项年度工作任务。</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jc w:val="both"/>
        <w:textAlignment w:val="auto"/>
        <w:rPr>
          <w:rFonts w:hint="default" w:cs="仿宋_GB2312"/>
          <w:color w:val="auto"/>
          <w:sz w:val="32"/>
          <w:szCs w:val="32"/>
          <w:highlight w:val="none"/>
          <w:lang w:val="en-US" w:eastAsia="zh-CN" w:bidi="zh-CN"/>
        </w:rPr>
      </w:pPr>
      <w:r>
        <w:rPr>
          <w:rFonts w:hint="eastAsia" w:cs="仿宋_GB2312"/>
          <w:color w:val="auto"/>
          <w:sz w:val="32"/>
          <w:szCs w:val="32"/>
          <w:highlight w:val="none"/>
          <w:lang w:val="en-US" w:eastAsia="zh-CN" w:bidi="zh-CN"/>
        </w:rPr>
        <w:t>（4）成本指标：城乡低保补助标准965元/月/人、18岁以下孤儿补助标准（机构养育）2120元/月/人、养老机构运营补助标准200元/月/人、养老机构运营补助标准100元/月/人、城乡特困补助标准</w:t>
      </w:r>
      <w:r>
        <w:rPr>
          <w:rFonts w:hint="default" w:cs="仿宋_GB2312"/>
          <w:color w:val="auto"/>
          <w:sz w:val="32"/>
          <w:szCs w:val="32"/>
          <w:highlight w:val="none"/>
          <w:lang w:eastAsia="zh-CN" w:bidi="zh-CN"/>
        </w:rPr>
        <w:t>1260</w:t>
      </w:r>
      <w:r>
        <w:rPr>
          <w:rFonts w:hint="eastAsia" w:cs="仿宋_GB2312"/>
          <w:color w:val="auto"/>
          <w:sz w:val="32"/>
          <w:szCs w:val="32"/>
          <w:highlight w:val="none"/>
          <w:lang w:val="en-US" w:eastAsia="zh-CN" w:bidi="zh-CN"/>
        </w:rPr>
        <w:t>元/月/人、“五类”老年人服务支出标准200元/月/人，路牌的设置与维护成本控制率、流浪乞讨人员救助成本控制率、殡仪馆火化遗体与骨灰存放成本控制率在100%以内。</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2" w:firstLineChars="200"/>
        <w:textAlignment w:val="auto"/>
        <w:rPr>
          <w:rFonts w:hint="eastAsia"/>
          <w:b/>
          <w:bCs/>
          <w:color w:val="auto"/>
          <w:highlight w:val="none"/>
          <w:lang w:val="en-US" w:eastAsia="zh-CN"/>
        </w:rPr>
      </w:pPr>
      <w:r>
        <w:rPr>
          <w:rFonts w:hint="eastAsia"/>
          <w:b/>
          <w:bCs/>
          <w:color w:val="auto"/>
          <w:highlight w:val="none"/>
          <w:lang w:val="en-US" w:eastAsia="zh-CN"/>
        </w:rPr>
        <w:t>2.效益指标</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rPr>
          <w:rFonts w:hint="eastAsia" w:cs="仿宋_GB2312"/>
          <w:color w:val="auto"/>
          <w:sz w:val="32"/>
          <w:szCs w:val="32"/>
          <w:highlight w:val="none"/>
          <w:lang w:val="en-US" w:eastAsia="zh-CN" w:bidi="zh-CN"/>
        </w:rPr>
      </w:pPr>
      <w:r>
        <w:rPr>
          <w:rFonts w:hint="eastAsia" w:cs="仿宋_GB2312"/>
          <w:color w:val="auto"/>
          <w:sz w:val="32"/>
          <w:szCs w:val="32"/>
          <w:highlight w:val="none"/>
          <w:lang w:val="en-US" w:eastAsia="zh-CN" w:bidi="zh-CN"/>
        </w:rPr>
        <w:t>社会效益指标：城乡低保标准年度增速达到5%、养老机构护理型床位占比达到60%、提升救助管理工作服务能力达到100%、殡仪馆遗体火化与骨灰存放成本占比率小于20%。</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rPr>
          <w:rFonts w:hint="eastAsia" w:cs="仿宋_GB2312"/>
          <w:color w:val="auto"/>
          <w:sz w:val="32"/>
          <w:szCs w:val="32"/>
          <w:highlight w:val="none"/>
          <w:lang w:val="en-US" w:eastAsia="zh-CN" w:bidi="zh-CN"/>
        </w:rPr>
      </w:pPr>
      <w:r>
        <w:rPr>
          <w:rFonts w:hint="eastAsia" w:cs="仿宋_GB2312"/>
          <w:color w:val="auto"/>
          <w:sz w:val="32"/>
          <w:szCs w:val="32"/>
          <w:highlight w:val="none"/>
          <w:lang w:val="en-US" w:eastAsia="zh-CN" w:bidi="zh-CN"/>
        </w:rPr>
        <w:t>可持续影响指标：民政领域政策实施延续年度达到3年。</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2" w:firstLineChars="200"/>
        <w:textAlignment w:val="auto"/>
        <w:rPr>
          <w:rFonts w:hint="eastAsia"/>
          <w:b/>
          <w:bCs/>
          <w:color w:val="auto"/>
          <w:highlight w:val="none"/>
          <w:lang w:val="en-US" w:eastAsia="zh-CN"/>
        </w:rPr>
      </w:pPr>
      <w:r>
        <w:rPr>
          <w:rFonts w:hint="eastAsia"/>
          <w:b/>
          <w:bCs/>
          <w:color w:val="auto"/>
          <w:highlight w:val="none"/>
          <w:lang w:val="en-US" w:eastAsia="zh-CN"/>
        </w:rPr>
        <w:t>3.满意度指标</w:t>
      </w:r>
    </w:p>
    <w:p>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firstLine="640" w:firstLineChars="200"/>
        <w:textAlignment w:val="auto"/>
        <w:rPr>
          <w:rFonts w:hint="eastAsia" w:ascii="楷体_GB2312" w:hAnsi="楷体_GB2312" w:eastAsia="楷体_GB2312" w:cs="楷体_GB2312"/>
          <w:b/>
          <w:bCs/>
          <w:color w:val="auto"/>
          <w:sz w:val="32"/>
          <w:szCs w:val="32"/>
          <w:highlight w:val="none"/>
          <w:lang w:val="en-US" w:eastAsia="zh-CN" w:bidi="zh-CN"/>
        </w:rPr>
      </w:pPr>
      <w:r>
        <w:rPr>
          <w:rFonts w:hint="default" w:cs="仿宋_GB2312"/>
          <w:color w:val="auto"/>
          <w:sz w:val="32"/>
          <w:szCs w:val="32"/>
          <w:highlight w:val="none"/>
          <w:lang w:val="en-US" w:eastAsia="zh-CN" w:bidi="zh-CN"/>
        </w:rPr>
        <w:t>满意度</w:t>
      </w:r>
      <w:r>
        <w:rPr>
          <w:rFonts w:hint="eastAsia"/>
          <w:b w:val="0"/>
          <w:bCs w:val="0"/>
          <w:color w:val="auto"/>
          <w:highlight w:val="none"/>
          <w:lang w:val="en-US" w:eastAsia="zh-CN"/>
        </w:rPr>
        <w:t>指标</w:t>
      </w:r>
      <w:r>
        <w:rPr>
          <w:rFonts w:hint="default" w:cs="仿宋_GB2312"/>
          <w:color w:val="auto"/>
          <w:sz w:val="32"/>
          <w:szCs w:val="32"/>
          <w:highlight w:val="none"/>
          <w:lang w:val="en-US" w:eastAsia="zh-CN" w:bidi="zh-CN"/>
        </w:rPr>
        <w:t>：</w:t>
      </w:r>
      <w:r>
        <w:rPr>
          <w:rFonts w:hint="eastAsia" w:cs="仿宋_GB2312"/>
          <w:color w:val="auto"/>
          <w:sz w:val="32"/>
          <w:szCs w:val="32"/>
          <w:highlight w:val="none"/>
          <w:lang w:val="en-US" w:eastAsia="zh-CN" w:bidi="zh-CN"/>
        </w:rPr>
        <w:t>老年人满意度达到95%、受救助人员满意度达到95%。</w:t>
      </w:r>
    </w:p>
    <w:p>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firstLine="642" w:firstLineChars="200"/>
        <w:textAlignment w:val="auto"/>
        <w:outlineLvl w:val="1"/>
        <w:rPr>
          <w:rFonts w:hint="default" w:ascii="楷体_GB2312" w:hAnsi="楷体_GB2312" w:eastAsia="楷体_GB2312" w:cs="楷体_GB2312"/>
          <w:b/>
          <w:bCs/>
          <w:color w:val="auto"/>
          <w:sz w:val="32"/>
          <w:szCs w:val="32"/>
          <w:highlight w:val="none"/>
          <w:lang w:val="en-US" w:eastAsia="zh-CN" w:bidi="zh-CN"/>
        </w:rPr>
      </w:pPr>
      <w:bookmarkStart w:id="8" w:name="_Toc69230090"/>
      <w:bookmarkStart w:id="9" w:name="_Toc12271"/>
      <w:r>
        <w:rPr>
          <w:rFonts w:hint="default" w:ascii="楷体_GB2312" w:hAnsi="楷体_GB2312" w:eastAsia="楷体_GB2312" w:cs="楷体_GB2312"/>
          <w:b/>
          <w:bCs/>
          <w:color w:val="auto"/>
          <w:sz w:val="32"/>
          <w:szCs w:val="32"/>
          <w:highlight w:val="none"/>
          <w:lang w:val="en-US" w:eastAsia="zh-CN" w:bidi="zh-CN"/>
        </w:rPr>
        <w:t>（四）部门预算绩效管理开展情况</w:t>
      </w:r>
      <w:bookmarkEnd w:id="8"/>
      <w:bookmarkEnd w:id="9"/>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cs="仿宋_GB2312"/>
          <w:color w:val="auto"/>
          <w:sz w:val="32"/>
          <w:szCs w:val="32"/>
          <w:highlight w:val="none"/>
          <w:lang w:val="en-US" w:eastAsia="zh-CN" w:bidi="zh-CN"/>
        </w:rPr>
      </w:pPr>
      <w:r>
        <w:rPr>
          <w:rFonts w:hint="eastAsia" w:cs="仿宋_GB2312"/>
          <w:color w:val="auto"/>
          <w:sz w:val="32"/>
          <w:szCs w:val="32"/>
          <w:highlight w:val="none"/>
          <w:lang w:val="en-US" w:eastAsia="zh-CN" w:bidi="zh-CN"/>
        </w:rPr>
        <w:t>我局按照《南昌市财政局关于开展2025年度单位自评及部门评价工作的通知》（洪财绩〔202</w:t>
      </w:r>
      <w:r>
        <w:rPr>
          <w:rFonts w:hint="default" w:cs="仿宋_GB2312"/>
          <w:color w:val="auto"/>
          <w:sz w:val="32"/>
          <w:szCs w:val="32"/>
          <w:highlight w:val="none"/>
          <w:lang w:val="en-US" w:eastAsia="zh-CN" w:bidi="zh-CN"/>
        </w:rPr>
        <w:t>6</w:t>
      </w:r>
      <w:r>
        <w:rPr>
          <w:rFonts w:hint="eastAsia" w:cs="仿宋_GB2312"/>
          <w:color w:val="auto"/>
          <w:sz w:val="32"/>
          <w:szCs w:val="32"/>
          <w:highlight w:val="none"/>
          <w:lang w:val="en-US" w:eastAsia="zh-CN" w:bidi="zh-CN"/>
        </w:rPr>
        <w:t>〕1号）等文件要求，积极开展了全年预算绩效管理工作，年度内较好地完成了市财政局布置的各项工作，主要工作内容如下：</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cs="仿宋_GB2312"/>
          <w:color w:val="auto"/>
          <w:sz w:val="32"/>
          <w:szCs w:val="32"/>
          <w:highlight w:val="none"/>
          <w:lang w:val="en-US" w:eastAsia="zh-CN" w:bidi="zh-CN"/>
        </w:rPr>
      </w:pPr>
      <w:r>
        <w:rPr>
          <w:rFonts w:hint="eastAsia" w:cs="仿宋_GB2312"/>
          <w:color w:val="auto"/>
          <w:sz w:val="32"/>
          <w:szCs w:val="32"/>
          <w:highlight w:val="none"/>
          <w:lang w:val="en-US" w:eastAsia="zh-CN" w:bidi="zh-CN"/>
        </w:rPr>
        <w:t>1.目标申报。我局根据本级和5个下属单位的基本支出与项目支出计划安排，对本部门的项目、整体支出进行了预算绩效目标申报。</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cs="仿宋_GB2312"/>
          <w:color w:val="auto"/>
          <w:sz w:val="32"/>
          <w:szCs w:val="32"/>
          <w:highlight w:val="none"/>
          <w:lang w:val="en-US" w:eastAsia="zh-CN" w:bidi="zh-CN"/>
        </w:rPr>
      </w:pPr>
      <w:r>
        <w:rPr>
          <w:rFonts w:hint="eastAsia" w:cs="仿宋_GB2312"/>
          <w:color w:val="auto"/>
          <w:sz w:val="32"/>
          <w:szCs w:val="32"/>
          <w:highlight w:val="none"/>
          <w:lang w:val="en-US" w:eastAsia="zh-CN" w:bidi="zh-CN"/>
        </w:rPr>
        <w:t>2.绩效监控。在绩效目标的实现过程中，我局绩效工作小组根据市财政局的要求，开展并督促下属单位做好部门绩效运行监控工作。以绩效目标执行情况为关注重点填写了绩效监控表，并在此基础上对偏离绩效目标的原因进行分析，提出了对应的改进措施。</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textAlignment w:val="auto"/>
        <w:outlineLvl w:val="9"/>
        <w:rPr>
          <w:rFonts w:hint="eastAsia" w:cs="仿宋_GB2312"/>
          <w:color w:val="auto"/>
          <w:sz w:val="32"/>
          <w:szCs w:val="32"/>
          <w:highlight w:val="none"/>
          <w:lang w:val="en-US" w:eastAsia="zh-CN" w:bidi="zh-CN"/>
        </w:rPr>
      </w:pPr>
      <w:r>
        <w:rPr>
          <w:rFonts w:hint="eastAsia" w:cs="仿宋_GB2312"/>
          <w:color w:val="auto"/>
          <w:sz w:val="32"/>
          <w:szCs w:val="32"/>
          <w:highlight w:val="none"/>
          <w:lang w:val="en-US" w:eastAsia="zh-CN" w:bidi="zh-CN"/>
        </w:rPr>
        <w:t>3.绩效事后评价。我局于2026年2月开展了2025年度项目支出、部门整体支出绩效自评以及60%资金项目的部门评价工作，并已根据上述评价结果对存在的问题进行了分析和整改。</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2" w:firstLineChars="200"/>
        <w:textAlignment w:val="auto"/>
        <w:outlineLvl w:val="1"/>
        <w:rPr>
          <w:rFonts w:hint="default" w:ascii="仿宋_GB2312" w:hAnsi="仿宋_GB2312" w:eastAsia="仿宋_GB2312" w:cs="仿宋_GB2312"/>
          <w:color w:val="auto"/>
          <w:sz w:val="32"/>
          <w:szCs w:val="32"/>
          <w:highlight w:val="none"/>
          <w:lang w:val="en-US" w:eastAsia="zh-CN" w:bidi="zh-CN"/>
        </w:rPr>
      </w:pPr>
      <w:bookmarkStart w:id="10" w:name="_Toc9590"/>
      <w:r>
        <w:rPr>
          <w:rFonts w:hint="eastAsia" w:ascii="楷体_GB2312" w:hAnsi="楷体_GB2312" w:eastAsia="楷体_GB2312" w:cs="楷体_GB2312"/>
          <w:b/>
          <w:bCs/>
          <w:color w:val="auto"/>
          <w:sz w:val="32"/>
          <w:szCs w:val="32"/>
          <w:highlight w:val="none"/>
        </w:rPr>
        <w:t>（五）当年部门预算及执行情况。</w:t>
      </w:r>
      <w:bookmarkEnd w:id="10"/>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bidi="zh-CN"/>
        </w:rPr>
      </w:pPr>
      <w:r>
        <w:rPr>
          <w:rFonts w:hint="eastAsia" w:cs="仿宋_GB2312"/>
          <w:color w:val="auto"/>
          <w:sz w:val="32"/>
          <w:szCs w:val="32"/>
          <w:highlight w:val="none"/>
          <w:lang w:val="en-US" w:eastAsia="zh-CN" w:bidi="zh-CN"/>
        </w:rPr>
        <w:t>我局2025年度年初</w:t>
      </w:r>
      <w:r>
        <w:rPr>
          <w:rFonts w:hint="default" w:ascii="仿宋_GB2312" w:hAnsi="仿宋_GB2312" w:eastAsia="仿宋_GB2312" w:cs="仿宋_GB2312"/>
          <w:color w:val="auto"/>
          <w:sz w:val="32"/>
          <w:szCs w:val="32"/>
          <w:highlight w:val="none"/>
          <w:lang w:val="en-US" w:eastAsia="zh-CN" w:bidi="zh-CN"/>
        </w:rPr>
        <w:t>预算</w:t>
      </w:r>
      <w:r>
        <w:rPr>
          <w:rFonts w:hint="eastAsia" w:cs="仿宋_GB2312"/>
          <w:color w:val="auto"/>
          <w:sz w:val="32"/>
          <w:szCs w:val="32"/>
          <w:highlight w:val="none"/>
          <w:lang w:val="en-US" w:eastAsia="zh-CN" w:bidi="zh-CN"/>
        </w:rPr>
        <w:t>本年支出20,250.84</w:t>
      </w:r>
      <w:r>
        <w:rPr>
          <w:rFonts w:hint="default" w:ascii="仿宋_GB2312" w:hAnsi="仿宋_GB2312" w:eastAsia="仿宋_GB2312" w:cs="仿宋_GB2312"/>
          <w:color w:val="auto"/>
          <w:sz w:val="32"/>
          <w:szCs w:val="32"/>
          <w:highlight w:val="none"/>
          <w:lang w:val="en-US" w:eastAsia="zh-CN" w:bidi="zh-CN"/>
        </w:rPr>
        <w:t>万元</w:t>
      </w:r>
      <w:r>
        <w:rPr>
          <w:rFonts w:hint="eastAsia" w:cs="仿宋_GB2312"/>
          <w:color w:val="auto"/>
          <w:sz w:val="32"/>
          <w:szCs w:val="32"/>
          <w:highlight w:val="none"/>
          <w:lang w:val="en-US" w:eastAsia="zh-CN" w:bidi="zh-CN"/>
        </w:rPr>
        <w:t>；调整调剂预算本年支出为18,665.91万元；全年预算本年支出38,916.75</w:t>
      </w:r>
      <w:r>
        <w:rPr>
          <w:rFonts w:hint="default" w:ascii="仿宋_GB2312" w:hAnsi="仿宋_GB2312" w:eastAsia="仿宋_GB2312" w:cs="仿宋_GB2312"/>
          <w:color w:val="auto"/>
          <w:sz w:val="32"/>
          <w:szCs w:val="32"/>
          <w:highlight w:val="none"/>
          <w:lang w:val="en-US" w:eastAsia="zh-CN" w:bidi="zh-CN"/>
        </w:rPr>
        <w:t>万元</w:t>
      </w:r>
      <w:r>
        <w:rPr>
          <w:rFonts w:hint="eastAsia" w:cs="仿宋_GB2312"/>
          <w:color w:val="auto"/>
          <w:sz w:val="32"/>
          <w:szCs w:val="32"/>
          <w:highlight w:val="none"/>
          <w:lang w:val="en-US" w:eastAsia="zh-CN" w:bidi="zh-CN"/>
        </w:rPr>
        <w:t>。</w:t>
      </w:r>
      <w:r>
        <w:rPr>
          <w:rFonts w:hint="default" w:ascii="仿宋_GB2312" w:hAnsi="仿宋_GB2312" w:eastAsia="仿宋_GB2312" w:cs="仿宋_GB2312"/>
          <w:color w:val="auto"/>
          <w:sz w:val="32"/>
          <w:szCs w:val="32"/>
          <w:highlight w:val="none"/>
          <w:lang w:val="en-US" w:eastAsia="zh-CN" w:bidi="zh-CN"/>
        </w:rPr>
        <w:t>截至</w:t>
      </w:r>
      <w:r>
        <w:rPr>
          <w:rFonts w:hint="eastAsia" w:cs="仿宋_GB2312"/>
          <w:color w:val="auto"/>
          <w:sz w:val="32"/>
          <w:szCs w:val="32"/>
          <w:highlight w:val="none"/>
          <w:lang w:val="en-US" w:eastAsia="zh-CN" w:bidi="zh-CN"/>
        </w:rPr>
        <w:t>2025年12月31日</w:t>
      </w:r>
      <w:r>
        <w:rPr>
          <w:rFonts w:hint="default" w:ascii="仿宋_GB2312" w:hAnsi="仿宋_GB2312" w:eastAsia="仿宋_GB2312" w:cs="仿宋_GB2312"/>
          <w:color w:val="auto"/>
          <w:sz w:val="32"/>
          <w:szCs w:val="32"/>
          <w:highlight w:val="none"/>
          <w:lang w:val="en-US" w:eastAsia="zh-CN" w:bidi="zh-CN"/>
        </w:rPr>
        <w:t>，</w:t>
      </w:r>
      <w:r>
        <w:rPr>
          <w:rFonts w:hint="eastAsia" w:cs="仿宋_GB2312"/>
          <w:color w:val="auto"/>
          <w:sz w:val="32"/>
          <w:szCs w:val="32"/>
          <w:highlight w:val="none"/>
          <w:lang w:val="en-US" w:eastAsia="zh-CN" w:bidi="zh-CN"/>
        </w:rPr>
        <w:t>我局</w:t>
      </w:r>
      <w:r>
        <w:rPr>
          <w:rFonts w:hint="default" w:ascii="仿宋_GB2312" w:hAnsi="仿宋_GB2312" w:eastAsia="仿宋_GB2312" w:cs="仿宋_GB2312"/>
          <w:color w:val="auto"/>
          <w:sz w:val="32"/>
          <w:szCs w:val="32"/>
          <w:highlight w:val="none"/>
          <w:lang w:val="en-US" w:eastAsia="zh-CN" w:bidi="zh-CN"/>
        </w:rPr>
        <w:t>实际支出</w:t>
      </w:r>
      <w:r>
        <w:rPr>
          <w:rFonts w:hint="eastAsia" w:cs="仿宋_GB2312"/>
          <w:color w:val="auto"/>
          <w:sz w:val="32"/>
          <w:szCs w:val="32"/>
          <w:highlight w:val="none"/>
          <w:lang w:val="en-US" w:eastAsia="zh-CN" w:bidi="zh-CN"/>
        </w:rPr>
        <w:t>决算数32,873.91</w:t>
      </w:r>
      <w:r>
        <w:rPr>
          <w:rFonts w:hint="default" w:ascii="仿宋_GB2312" w:hAnsi="仿宋_GB2312" w:eastAsia="仿宋_GB2312" w:cs="仿宋_GB2312"/>
          <w:color w:val="auto"/>
          <w:sz w:val="32"/>
          <w:szCs w:val="32"/>
          <w:highlight w:val="none"/>
          <w:lang w:val="en-US" w:eastAsia="zh-CN" w:bidi="zh-CN"/>
        </w:rPr>
        <w:t>万元</w:t>
      </w:r>
      <w:r>
        <w:rPr>
          <w:rFonts w:hint="eastAsia" w:cs="仿宋_GB2312"/>
          <w:color w:val="auto"/>
          <w:sz w:val="32"/>
          <w:szCs w:val="32"/>
          <w:highlight w:val="none"/>
          <w:lang w:val="en-US" w:eastAsia="zh-CN" w:bidi="zh-CN"/>
        </w:rPr>
        <w:t>。2025年度</w:t>
      </w:r>
      <w:r>
        <w:rPr>
          <w:rFonts w:hint="default" w:ascii="仿宋_GB2312" w:hAnsi="仿宋_GB2312" w:eastAsia="仿宋_GB2312" w:cs="仿宋_GB2312"/>
          <w:color w:val="auto"/>
          <w:sz w:val="32"/>
          <w:szCs w:val="32"/>
          <w:highlight w:val="none"/>
          <w:lang w:val="en-US" w:eastAsia="zh-CN" w:bidi="zh-CN"/>
        </w:rPr>
        <w:t>预算执行率</w:t>
      </w:r>
      <w:r>
        <w:rPr>
          <w:rFonts w:hint="eastAsia" w:cs="仿宋_GB2312"/>
          <w:color w:val="auto"/>
          <w:sz w:val="32"/>
          <w:szCs w:val="32"/>
          <w:highlight w:val="none"/>
          <w:lang w:val="en-US" w:eastAsia="zh-CN" w:bidi="zh-CN"/>
        </w:rPr>
        <w:t>为84.47%</w:t>
      </w:r>
      <w:r>
        <w:rPr>
          <w:rFonts w:hint="default" w:ascii="仿宋_GB2312" w:hAnsi="仿宋_GB2312" w:eastAsia="仿宋_GB2312" w:cs="仿宋_GB2312"/>
          <w:color w:val="auto"/>
          <w:sz w:val="32"/>
          <w:szCs w:val="32"/>
          <w:highlight w:val="none"/>
          <w:lang w:val="en-US" w:eastAsia="zh-CN" w:bidi="zh-CN"/>
        </w:rPr>
        <w:t>。</w:t>
      </w:r>
    </w:p>
    <w:p>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firstLine="640" w:firstLineChars="200"/>
        <w:jc w:val="both"/>
        <w:textAlignment w:val="auto"/>
        <w:outlineLvl w:val="0"/>
        <w:rPr>
          <w:rFonts w:hint="eastAsia" w:ascii="Times New Roman" w:hAnsi="Times New Roman" w:eastAsia="黑体" w:cs="Times New Roman"/>
          <w:color w:val="auto"/>
          <w:sz w:val="32"/>
          <w:szCs w:val="32"/>
          <w:highlight w:val="none"/>
          <w:lang w:eastAsia="zh-CN"/>
        </w:rPr>
      </w:pPr>
      <w:bookmarkStart w:id="11" w:name="_Toc16491"/>
      <w:r>
        <w:rPr>
          <w:rFonts w:ascii="Times New Roman" w:hAnsi="Times New Roman" w:eastAsia="黑体" w:cs="Times New Roman"/>
          <w:color w:val="auto"/>
          <w:sz w:val="32"/>
          <w:szCs w:val="32"/>
          <w:highlight w:val="none"/>
        </w:rPr>
        <w:t>二、部门整体支出绩效实现情况</w:t>
      </w:r>
      <w:bookmarkEnd w:id="11"/>
      <w:r>
        <w:rPr>
          <w:rFonts w:hint="eastAsia" w:ascii="Times New Roman" w:hAnsi="Times New Roman" w:eastAsia="黑体" w:cs="Times New Roman"/>
          <w:color w:val="auto"/>
          <w:sz w:val="32"/>
          <w:szCs w:val="32"/>
          <w:highlight w:val="none"/>
          <w:lang w:eastAsia="zh-CN"/>
        </w:rPr>
        <w:t>分析</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left="0" w:leftChars="0" w:firstLine="640" w:firstLineChars="200"/>
        <w:jc w:val="both"/>
        <w:textAlignment w:val="auto"/>
        <w:rPr>
          <w:rFonts w:hint="default" w:ascii="仿宋_GB2312" w:hAnsi="仿宋_GB2312" w:eastAsia="仿宋_GB2312" w:cs="仿宋_GB2312"/>
          <w:color w:val="auto"/>
          <w:sz w:val="32"/>
          <w:szCs w:val="32"/>
          <w:highlight w:val="none"/>
          <w:lang w:val="en-US" w:eastAsia="zh-CN" w:bidi="zh-CN"/>
        </w:rPr>
      </w:pPr>
      <w:r>
        <w:rPr>
          <w:rFonts w:hint="default" w:ascii="仿宋_GB2312" w:hAnsi="仿宋_GB2312" w:eastAsia="仿宋_GB2312" w:cs="仿宋_GB2312"/>
          <w:color w:val="auto"/>
          <w:sz w:val="32"/>
          <w:szCs w:val="32"/>
          <w:highlight w:val="none"/>
          <w:lang w:val="en-US" w:eastAsia="zh-CN" w:bidi="zh-CN"/>
        </w:rPr>
        <w:t>根据绩效评价的基本原理、原则和预算绩效管理的相关要求，结合</w:t>
      </w:r>
      <w:r>
        <w:rPr>
          <w:rFonts w:hint="eastAsia" w:ascii="仿宋_GB2312" w:hAnsi="仿宋_GB2312" w:eastAsia="仿宋_GB2312" w:cs="仿宋_GB2312"/>
          <w:color w:val="auto"/>
          <w:sz w:val="32"/>
          <w:szCs w:val="32"/>
          <w:highlight w:val="none"/>
          <w:lang w:val="en-US" w:eastAsia="zh-CN" w:bidi="zh-CN"/>
        </w:rPr>
        <w:t>我局</w:t>
      </w:r>
      <w:r>
        <w:rPr>
          <w:rFonts w:hint="default" w:ascii="仿宋_GB2312" w:hAnsi="仿宋_GB2312" w:eastAsia="仿宋_GB2312" w:cs="仿宋_GB2312"/>
          <w:color w:val="auto"/>
          <w:sz w:val="32"/>
          <w:szCs w:val="32"/>
          <w:highlight w:val="none"/>
          <w:lang w:val="en-US" w:eastAsia="zh-CN" w:bidi="zh-CN"/>
        </w:rPr>
        <w:t>的部门特点设计了本次绩效评价的指标体系，按照逻辑分析法，202</w:t>
      </w:r>
      <w:r>
        <w:rPr>
          <w:rFonts w:hint="eastAsia" w:ascii="仿宋_GB2312" w:hAnsi="仿宋_GB2312" w:eastAsia="仿宋_GB2312" w:cs="仿宋_GB2312"/>
          <w:color w:val="auto"/>
          <w:sz w:val="32"/>
          <w:szCs w:val="32"/>
          <w:highlight w:val="none"/>
          <w:lang w:val="en-US" w:eastAsia="zh-CN" w:bidi="zh-CN"/>
        </w:rPr>
        <w:t>5</w:t>
      </w:r>
      <w:r>
        <w:rPr>
          <w:rFonts w:hint="default" w:ascii="仿宋_GB2312" w:hAnsi="仿宋_GB2312" w:eastAsia="仿宋_GB2312" w:cs="仿宋_GB2312"/>
          <w:color w:val="auto"/>
          <w:sz w:val="32"/>
          <w:szCs w:val="32"/>
          <w:highlight w:val="none"/>
          <w:lang w:val="en-US" w:eastAsia="zh-CN" w:bidi="zh-CN"/>
        </w:rPr>
        <w:t>年</w:t>
      </w:r>
      <w:r>
        <w:rPr>
          <w:rFonts w:hint="eastAsia" w:ascii="仿宋_GB2312" w:hAnsi="仿宋_GB2312" w:eastAsia="仿宋_GB2312" w:cs="仿宋_GB2312"/>
          <w:color w:val="auto"/>
          <w:sz w:val="32"/>
          <w:szCs w:val="32"/>
          <w:highlight w:val="none"/>
          <w:lang w:val="en-US" w:eastAsia="zh-CN" w:bidi="zh-CN"/>
        </w:rPr>
        <w:t>我局</w:t>
      </w:r>
      <w:r>
        <w:rPr>
          <w:rFonts w:hint="default" w:ascii="仿宋_GB2312" w:hAnsi="仿宋_GB2312" w:eastAsia="仿宋_GB2312" w:cs="仿宋_GB2312"/>
          <w:color w:val="auto"/>
          <w:sz w:val="32"/>
          <w:szCs w:val="32"/>
          <w:highlight w:val="none"/>
          <w:lang w:val="en-US" w:eastAsia="zh-CN" w:bidi="zh-CN"/>
        </w:rPr>
        <w:t>部门整体绩效评价指标体系</w:t>
      </w:r>
      <w:r>
        <w:rPr>
          <w:rFonts w:hint="eastAsia" w:ascii="仿宋_GB2312" w:hAnsi="仿宋_GB2312" w:eastAsia="仿宋_GB2312" w:cs="仿宋_GB2312"/>
          <w:color w:val="auto"/>
          <w:sz w:val="32"/>
          <w:szCs w:val="32"/>
          <w:highlight w:val="none"/>
          <w:lang w:val="en-US" w:eastAsia="zh-CN" w:bidi="zh-CN"/>
        </w:rPr>
        <w:t>包括</w:t>
      </w:r>
      <w:r>
        <w:rPr>
          <w:rFonts w:hint="default" w:ascii="仿宋_GB2312" w:hAnsi="仿宋_GB2312" w:eastAsia="仿宋_GB2312" w:cs="仿宋_GB2312"/>
          <w:color w:val="auto"/>
          <w:sz w:val="32"/>
          <w:szCs w:val="32"/>
          <w:highlight w:val="none"/>
          <w:lang w:val="en-US" w:eastAsia="zh-CN" w:bidi="zh-CN"/>
        </w:rPr>
        <w:t>产出、效果、满意度等三部分内容，由三级指标构成。其中一级指标和二级指标参考《部门整体支出绩效评价共性指标体系框架（参考）》设置，三级指标针对部门特点进行了个性化设计。</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left="0" w:leftChars="0" w:firstLine="640" w:firstLineChars="200"/>
        <w:jc w:val="both"/>
        <w:textAlignment w:val="auto"/>
        <w:rPr>
          <w:rFonts w:hint="default"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我局</w:t>
      </w:r>
      <w:r>
        <w:rPr>
          <w:rFonts w:hint="default" w:ascii="仿宋_GB2312" w:hAnsi="仿宋_GB2312" w:eastAsia="仿宋_GB2312" w:cs="仿宋_GB2312"/>
          <w:color w:val="auto"/>
          <w:sz w:val="32"/>
          <w:szCs w:val="32"/>
          <w:highlight w:val="none"/>
          <w:lang w:val="en-US" w:eastAsia="zh-CN" w:bidi="zh-CN"/>
        </w:rPr>
        <w:t>在基础数据分析及处理的基础上，对</w:t>
      </w:r>
      <w:r>
        <w:rPr>
          <w:rFonts w:hint="eastAsia" w:ascii="仿宋_GB2312" w:hAnsi="仿宋_GB2312" w:eastAsia="仿宋_GB2312" w:cs="仿宋_GB2312"/>
          <w:color w:val="auto"/>
          <w:sz w:val="32"/>
          <w:szCs w:val="32"/>
          <w:highlight w:val="none"/>
          <w:lang w:val="en-US" w:eastAsia="zh-CN" w:bidi="zh-CN"/>
        </w:rPr>
        <w:t>2025年度</w:t>
      </w:r>
      <w:r>
        <w:rPr>
          <w:rFonts w:hint="default" w:ascii="仿宋_GB2312" w:hAnsi="仿宋_GB2312" w:eastAsia="仿宋_GB2312" w:cs="仿宋_GB2312"/>
          <w:color w:val="auto"/>
          <w:sz w:val="32"/>
          <w:szCs w:val="32"/>
          <w:highlight w:val="none"/>
          <w:lang w:val="en-US" w:eastAsia="zh-CN" w:bidi="zh-CN"/>
        </w:rPr>
        <w:t>部门整体进行客观的绩效评价，综合得分为</w:t>
      </w:r>
      <w:r>
        <w:rPr>
          <w:rFonts w:hint="eastAsia" w:ascii="仿宋_GB2312" w:hAnsi="仿宋_GB2312" w:eastAsia="仿宋_GB2312" w:cs="仿宋_GB2312"/>
          <w:color w:val="auto"/>
          <w:sz w:val="32"/>
          <w:szCs w:val="32"/>
          <w:highlight w:val="none"/>
          <w:lang w:val="en-US" w:eastAsia="zh-CN" w:bidi="zh-CN"/>
        </w:rPr>
        <w:t>96.26分</w:t>
      </w:r>
      <w:r>
        <w:rPr>
          <w:rFonts w:hint="default" w:ascii="仿宋_GB2312" w:hAnsi="仿宋_GB2312" w:eastAsia="仿宋_GB2312" w:cs="仿宋_GB2312"/>
          <w:color w:val="auto"/>
          <w:sz w:val="32"/>
          <w:szCs w:val="32"/>
          <w:highlight w:val="none"/>
          <w:lang w:val="en-US" w:eastAsia="zh-CN" w:bidi="zh-CN"/>
        </w:rPr>
        <w:t>，评价等级为“优”。</w:t>
      </w:r>
      <w:bookmarkStart w:id="12" w:name="_Toc24803"/>
      <w:bookmarkStart w:id="13" w:name="_Toc69230097"/>
    </w:p>
    <w:p>
      <w:pPr>
        <w:keepNext w:val="0"/>
        <w:keepLines w:val="0"/>
        <w:pageBreakBefore w:val="0"/>
        <w:widowControl w:val="0"/>
        <w:numPr>
          <w:ilvl w:val="0"/>
          <w:numId w:val="2"/>
        </w:numPr>
        <w:pBdr>
          <w:bottom w:val="single" w:color="FFFFFF" w:sz="4" w:space="24"/>
        </w:pBdr>
        <w:kinsoku/>
        <w:wordWrap/>
        <w:overflowPunct/>
        <w:topLinePunct w:val="0"/>
        <w:autoSpaceDE/>
        <w:autoSpaceDN/>
        <w:bidi w:val="0"/>
        <w:adjustRightInd/>
        <w:snapToGrid/>
        <w:spacing w:before="0" w:after="0" w:line="360" w:lineRule="auto"/>
        <w:ind w:left="0" w:leftChars="0" w:firstLine="642" w:firstLineChars="200"/>
        <w:jc w:val="both"/>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b/>
          <w:bCs/>
          <w:color w:val="auto"/>
          <w:sz w:val="32"/>
          <w:szCs w:val="32"/>
          <w:highlight w:val="none"/>
          <w:lang w:eastAsia="zh-CN"/>
        </w:rPr>
        <w:t>部门</w:t>
      </w:r>
      <w:r>
        <w:rPr>
          <w:rFonts w:hint="eastAsia" w:ascii="楷体_GB2312" w:hAnsi="楷体_GB2312" w:eastAsia="楷体_GB2312" w:cs="楷体_GB2312"/>
          <w:b/>
          <w:bCs/>
          <w:color w:val="auto"/>
          <w:sz w:val="32"/>
          <w:szCs w:val="32"/>
          <w:highlight w:val="none"/>
        </w:rPr>
        <w:t>整体支出规模</w:t>
      </w:r>
      <w:r>
        <w:rPr>
          <w:rFonts w:hint="eastAsia" w:ascii="楷体_GB2312" w:hAnsi="楷体_GB2312" w:eastAsia="楷体_GB2312" w:cs="楷体_GB2312"/>
          <w:b/>
          <w:bCs/>
          <w:color w:val="auto"/>
          <w:sz w:val="32"/>
          <w:szCs w:val="32"/>
          <w:highlight w:val="none"/>
          <w:lang w:eastAsia="zh-CN"/>
        </w:rPr>
        <w:t>预算完成率分析</w:t>
      </w:r>
      <w:r>
        <w:rPr>
          <w:rFonts w:hint="eastAsia" w:ascii="楷体_GB2312" w:hAnsi="楷体_GB2312" w:eastAsia="楷体_GB2312" w:cs="楷体_GB2312"/>
          <w:b/>
          <w:bCs/>
          <w:color w:val="auto"/>
          <w:kern w:val="2"/>
          <w:sz w:val="32"/>
          <w:szCs w:val="32"/>
          <w:highlight w:val="none"/>
          <w:lang w:val="en-US" w:eastAsia="zh-CN" w:bidi="ar-SA"/>
        </w:rPr>
        <w:t>（权重10分，</w:t>
      </w:r>
      <w:r>
        <w:rPr>
          <w:rFonts w:hint="eastAsia" w:ascii="楷体_GB2312" w:hAnsi="楷体_GB2312" w:eastAsia="楷体_GB2312" w:cs="楷体_GB2312"/>
          <w:color w:val="auto"/>
          <w:kern w:val="2"/>
          <w:sz w:val="32"/>
          <w:szCs w:val="32"/>
          <w:highlight w:val="none"/>
          <w:lang w:val="en-US" w:eastAsia="zh-CN" w:bidi="ar-SA"/>
        </w:rPr>
        <w:t>得7分）</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val="0"/>
        <w:spacing w:before="0" w:after="0" w:line="360" w:lineRule="auto"/>
        <w:ind w:left="0" w:leftChars="0"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 xml:space="preserve"> 202</w:t>
      </w:r>
      <w:r>
        <w:rPr>
          <w:rFonts w:hint="default" w:ascii="仿宋_GB2312" w:hAnsi="仿宋_GB2312" w:eastAsia="仿宋_GB2312" w:cs="仿宋_GB2312"/>
          <w:color w:val="auto"/>
          <w:sz w:val="32"/>
          <w:szCs w:val="32"/>
          <w:highlight w:val="none"/>
          <w:lang w:eastAsia="zh-CN" w:bidi="zh-CN"/>
        </w:rPr>
        <w:t>5</w:t>
      </w:r>
      <w:r>
        <w:rPr>
          <w:rFonts w:hint="eastAsia" w:ascii="仿宋_GB2312" w:hAnsi="仿宋_GB2312" w:eastAsia="仿宋_GB2312" w:cs="仿宋_GB2312"/>
          <w:color w:val="auto"/>
          <w:sz w:val="32"/>
          <w:szCs w:val="32"/>
          <w:highlight w:val="none"/>
          <w:lang w:val="en-US" w:eastAsia="zh-CN" w:bidi="zh-CN"/>
        </w:rPr>
        <w:t>年全年部门整体支出预算数38,916.75万元，全年预算执行数32,873.86万元，全年预算执行率（%）=(32,873.86/38,916.75)*100%=84.47%。分值10分，得分7分。</w:t>
      </w:r>
    </w:p>
    <w:p>
      <w:pPr>
        <w:keepNext w:val="0"/>
        <w:keepLines w:val="0"/>
        <w:pageBreakBefore w:val="0"/>
        <w:widowControl w:val="0"/>
        <w:numPr>
          <w:ilvl w:val="0"/>
          <w:numId w:val="2"/>
        </w:numPr>
        <w:pBdr>
          <w:bottom w:val="single" w:color="FFFFFF" w:sz="4" w:space="24"/>
        </w:pBdr>
        <w:kinsoku/>
        <w:wordWrap/>
        <w:overflowPunct/>
        <w:topLinePunct w:val="0"/>
        <w:autoSpaceDE/>
        <w:autoSpaceDN/>
        <w:bidi w:val="0"/>
        <w:adjustRightInd/>
        <w:snapToGrid/>
        <w:spacing w:before="0" w:after="0" w:line="360" w:lineRule="auto"/>
        <w:ind w:left="0" w:leftChars="0" w:firstLine="642"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楷体_GB2312" w:hAnsi="楷体_GB2312" w:eastAsia="楷体_GB2312" w:cs="楷体_GB2312"/>
          <w:b/>
          <w:bCs/>
          <w:color w:val="auto"/>
          <w:sz w:val="32"/>
          <w:szCs w:val="32"/>
          <w:highlight w:val="none"/>
          <w:lang w:val="en-US" w:eastAsia="zh-CN"/>
        </w:rPr>
        <w:t>履职完成情况</w:t>
      </w:r>
      <w:bookmarkEnd w:id="12"/>
      <w:bookmarkEnd w:id="13"/>
      <w:r>
        <w:rPr>
          <w:rFonts w:hint="eastAsia" w:ascii="楷体_GB2312" w:hAnsi="楷体_GB2312" w:eastAsia="楷体_GB2312" w:cs="楷体_GB2312"/>
          <w:b/>
          <w:bCs/>
          <w:color w:val="auto"/>
          <w:sz w:val="32"/>
          <w:szCs w:val="32"/>
          <w:highlight w:val="none"/>
          <w:lang w:val="en-US" w:eastAsia="zh-CN"/>
        </w:rPr>
        <w:t>分析（权重40分，得39分）</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2025年全市民政系统坚持以习近平新时代中国特色社会主义思想定向领航，坚决贯彻省委、省政府决策部署，精准落实市委、市政府及省民政厅工作要求。一年来，我们锚定年初目标，在基本民生保障、基层社会治理、基本社会服务三大领域深耕细作，以实干担当交出了“稳中有进、进中提质”的合格答卷。特别是在服务发展大局、深化民政改革、争取项目资金、攻坚专项任务、争创标杆示范五个维度实现突破，有力发挥了民政工作在全市经济社会发展中的兜底性、基础性作用。</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2"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1.数量指标分析</w:t>
      </w:r>
      <w:r>
        <w:rPr>
          <w:rFonts w:hint="eastAsia" w:ascii="仿宋_GB2312" w:hAnsi="仿宋_GB2312" w:eastAsia="仿宋_GB2312" w:cs="仿宋_GB2312"/>
          <w:b w:val="0"/>
          <w:bCs w:val="0"/>
          <w:color w:val="auto"/>
          <w:sz w:val="32"/>
          <w:szCs w:val="32"/>
          <w:highlight w:val="none"/>
          <w:lang w:val="en-US" w:eastAsia="zh-CN" w:bidi="zh-CN"/>
        </w:rPr>
        <w:t>（权重16.5分，得15.76分）</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（1）“五类”老年人服务人次</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根据部门年初目标，2025年度拟完成“五类”老年人服务人次≥15,000人次。截至2025年12月31日，实际完成“五类”老年人服务人次29,297人次，较好的完成了本年度工作任务。</w:t>
      </w:r>
    </w:p>
    <w:p>
      <w:pPr>
        <w:keepNext w:val="0"/>
        <w:keepLines w:val="0"/>
        <w:pageBreakBefore w:val="0"/>
        <w:widowControl w:val="0"/>
        <w:numPr>
          <w:ilvl w:val="0"/>
          <w:numId w:val="3"/>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补助养老机构接收入住老年人数量</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根据部门年初目标，2025年度拟完成补助养老机构接收入住老年人数量≥18,000人次。截至2025年12月31日，实际完成补助养老机构接收入住老年人数量20,732人次，较好的完成了本年度工作任务。</w:t>
      </w:r>
    </w:p>
    <w:p>
      <w:pPr>
        <w:keepNext w:val="0"/>
        <w:keepLines w:val="0"/>
        <w:pageBreakBefore w:val="0"/>
        <w:widowControl w:val="0"/>
        <w:numPr>
          <w:ilvl w:val="0"/>
          <w:numId w:val="3"/>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南昌市城乡低保发放人数</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根据部门年初目标，2025年度拟完成城乡低保发放人数≥103,500人。截至2025年12月31日，实际完成服务发放城乡低保发放人数102,155人，未全部完成年度工作任务。主要原因是该项指标根据群众实际情况审核。</w:t>
      </w:r>
    </w:p>
    <w:p>
      <w:pPr>
        <w:keepNext w:val="0"/>
        <w:keepLines w:val="0"/>
        <w:pageBreakBefore w:val="0"/>
        <w:widowControl w:val="0"/>
        <w:numPr>
          <w:ilvl w:val="0"/>
          <w:numId w:val="3"/>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南昌市城乡特困发放人数</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根据部门年初目标，2025年度拟完成城乡特困发放人数＝6,500人。截至2025年12月31日，实际完成服务城乡特困发放人数7,282人，较好的完成了本年度工作任务。</w:t>
      </w:r>
    </w:p>
    <w:p>
      <w:pPr>
        <w:keepNext w:val="0"/>
        <w:keepLines w:val="0"/>
        <w:pageBreakBefore w:val="0"/>
        <w:widowControl w:val="0"/>
        <w:numPr>
          <w:ilvl w:val="0"/>
          <w:numId w:val="3"/>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流浪乞讨人员救助人数</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根据部门年初目标，2025年度拟完成流浪乞讨人员救助人数＝1,800人。截至2025年12月31日，实际完成流浪乞讨人员救助人数3,623人次，较好的完成了本年度工作任务。流浪乞讨人员救助人数</w:t>
      </w:r>
    </w:p>
    <w:p>
      <w:pPr>
        <w:keepNext w:val="0"/>
        <w:keepLines w:val="0"/>
        <w:pageBreakBefore w:val="0"/>
        <w:widowControl w:val="0"/>
        <w:numPr>
          <w:ilvl w:val="0"/>
          <w:numId w:val="3"/>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南昌市城市网络标准化路牌制作数量</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根据部门年初目标，2025年度拟完成南昌市城市网络标准化路牌制作数量＝320块。截至2025年12月31日，实际完成服务城市网络标准化路牌制作数量320块，较好的完成了本年度工作任务。</w:t>
      </w:r>
    </w:p>
    <w:p>
      <w:pPr>
        <w:keepNext w:val="0"/>
        <w:keepLines w:val="0"/>
        <w:pageBreakBefore w:val="0"/>
        <w:widowControl w:val="0"/>
        <w:numPr>
          <w:ilvl w:val="0"/>
          <w:numId w:val="3"/>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南昌市民政事务服务中心接受各类社会救助申请家庭经济状况核查委托户次</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接受各类社会救助申请家庭经济状况核查委托户次≥45,000户。截至2025年12月31日，实际完成服务接受各类社会救助申请家庭经济状况核查委托户数153,000户，较好的完成了本年度工作任务。</w:t>
      </w:r>
    </w:p>
    <w:p>
      <w:pPr>
        <w:keepNext w:val="0"/>
        <w:keepLines w:val="0"/>
        <w:pageBreakBefore w:val="0"/>
        <w:widowControl w:val="0"/>
        <w:numPr>
          <w:ilvl w:val="0"/>
          <w:numId w:val="3"/>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南昌市社会福利院提供日常照料护理残疾儿童数量</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院年度拟完成提供日常照料护理残疾儿童数量≥261人。截至2025年12月31日，实际完成服务提供日常照料护理残疾儿童数量213人，未全部完成年度工作任务。主要原因是绩效目标申报期一般为根据当前情况预估下一年目标，但实际情况因为孤儿逐渐成年，故照料残疾儿童人数减少。</w:t>
      </w:r>
    </w:p>
    <w:p>
      <w:pPr>
        <w:keepNext w:val="0"/>
        <w:keepLines w:val="0"/>
        <w:pageBreakBefore w:val="0"/>
        <w:widowControl w:val="0"/>
        <w:numPr>
          <w:ilvl w:val="0"/>
          <w:numId w:val="3"/>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南昌市按摩医院患者救治人数</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根据部门年初目标，2025年度拟完成就诊患者人数＝46,562人次。截至2025年12月31日，实际完成服务就诊患者61,304人次，较好的完成了本年度工作任务。</w:t>
      </w:r>
    </w:p>
    <w:p>
      <w:pPr>
        <w:keepNext w:val="0"/>
        <w:keepLines w:val="0"/>
        <w:pageBreakBefore w:val="0"/>
        <w:widowControl w:val="0"/>
        <w:numPr>
          <w:ilvl w:val="0"/>
          <w:numId w:val="3"/>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南昌市殡仪服务中心殡仪馆遗体火化数量</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 xml:space="preserve">根据部门年初目标，2025年度拟完成殡仪馆遗体火化数量≥8000具。截至2025年12月31日，实际完成服务殡仪馆遗体火化数量10,005具，较好的完成了本年度工作任务。           </w:t>
      </w:r>
    </w:p>
    <w:p>
      <w:pPr>
        <w:keepNext w:val="0"/>
        <w:keepLines w:val="0"/>
        <w:pageBreakBefore w:val="0"/>
        <w:widowControl w:val="0"/>
        <w:numPr>
          <w:ilvl w:val="0"/>
          <w:numId w:val="3"/>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南昌市殡仪服务中心骨灰安葬存放数量</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根据部门年初目标，2025年度拟完成骨灰安葬存放数量≥900具。截至2025年12月31日，实际完成服务</w:t>
      </w:r>
      <w:r>
        <w:rPr>
          <w:rFonts w:hint="default" w:ascii="仿宋_GB2312" w:hAnsi="仿宋_GB2312" w:eastAsia="仿宋_GB2312" w:cs="仿宋_GB2312"/>
          <w:b w:val="0"/>
          <w:bCs w:val="0"/>
          <w:color w:val="auto"/>
          <w:sz w:val="32"/>
          <w:szCs w:val="32"/>
          <w:highlight w:val="none"/>
          <w:lang w:eastAsia="zh-CN" w:bidi="zh-CN"/>
        </w:rPr>
        <w:t>骨灰安葬存放</w:t>
      </w:r>
      <w:r>
        <w:rPr>
          <w:rFonts w:hint="eastAsia" w:ascii="仿宋_GB2312" w:hAnsi="仿宋_GB2312" w:eastAsia="仿宋_GB2312" w:cs="仿宋_GB2312"/>
          <w:b w:val="0"/>
          <w:bCs w:val="0"/>
          <w:color w:val="auto"/>
          <w:sz w:val="32"/>
          <w:szCs w:val="32"/>
          <w:highlight w:val="none"/>
          <w:lang w:val="en-US" w:eastAsia="zh-CN" w:bidi="zh-CN"/>
        </w:rPr>
        <w:t>数量1,759具，较好的完成了本年度工作任务。</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color w:val="auto"/>
          <w:sz w:val="32"/>
          <w:szCs w:val="32"/>
          <w:highlight w:val="none"/>
          <w:lang w:val="en-US" w:eastAsia="zh-CN" w:bidi="en-US"/>
        </w:rPr>
        <w:t>2.质量指标分析</w:t>
      </w:r>
      <w:r>
        <w:rPr>
          <w:rFonts w:hint="eastAsia" w:ascii="仿宋_GB2312" w:hAnsi="仿宋_GB2312" w:eastAsia="仿宋_GB2312" w:cs="仿宋_GB2312"/>
          <w:color w:val="auto"/>
          <w:kern w:val="2"/>
          <w:sz w:val="32"/>
          <w:szCs w:val="32"/>
          <w:highlight w:val="none"/>
          <w:lang w:val="en-US" w:eastAsia="zh-CN" w:bidi="ar-SA"/>
        </w:rPr>
        <w:t>（权重10.5分，得10.5分）</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cs="仿宋_GB2312"/>
          <w:color w:val="auto"/>
          <w:sz w:val="32"/>
          <w:szCs w:val="32"/>
          <w:highlight w:val="none"/>
          <w:lang w:val="en-US" w:eastAsia="zh-CN" w:bidi="zh-CN"/>
        </w:rPr>
        <w:t>截至2025年12月31日</w:t>
      </w:r>
      <w:r>
        <w:rPr>
          <w:rFonts w:hint="eastAsia" w:ascii="仿宋_GB2312" w:hAnsi="仿宋_GB2312" w:eastAsia="仿宋_GB2312" w:cs="仿宋_GB2312"/>
          <w:color w:val="auto"/>
          <w:sz w:val="32"/>
          <w:szCs w:val="32"/>
          <w:highlight w:val="none"/>
          <w:lang w:val="en-US" w:eastAsia="zh-CN" w:bidi="zh-CN"/>
        </w:rPr>
        <w:t>，我局各项工作均按相关政策要求开展，达到了年初目标值，具体为：</w:t>
      </w:r>
    </w:p>
    <w:p>
      <w:pPr>
        <w:keepNext w:val="0"/>
        <w:keepLines w:val="0"/>
        <w:pageBreakBefore w:val="0"/>
        <w:widowControl w:val="0"/>
        <w:numPr>
          <w:ilvl w:val="0"/>
          <w:numId w:val="4"/>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根据部门年初目标，2025年度拟完成按照“五类”老年人服务达标率执行≥90%，“五类”老年人服务达标率执行</w:t>
      </w:r>
      <w:r>
        <w:rPr>
          <w:rFonts w:hint="eastAsia" w:ascii="仿宋_GB2312" w:hAnsi="仿宋_GB2312" w:eastAsia="仿宋_GB2312" w:cs="仿宋_GB2312"/>
          <w:color w:val="auto"/>
          <w:sz w:val="32"/>
          <w:szCs w:val="32"/>
          <w:highlight w:val="none"/>
          <w:lang w:val="en-US" w:eastAsia="zh-CN" w:bidi="zh-CN"/>
        </w:rPr>
        <w:t>率达到了90%</w:t>
      </w:r>
      <w:r>
        <w:rPr>
          <w:rFonts w:hint="eastAsia" w:ascii="仿宋_GB2312" w:hAnsi="仿宋_GB2312" w:eastAsia="仿宋_GB2312" w:cs="仿宋_GB2312"/>
          <w:b w:val="0"/>
          <w:bCs w:val="0"/>
          <w:color w:val="auto"/>
          <w:sz w:val="32"/>
          <w:szCs w:val="32"/>
          <w:highlight w:val="none"/>
          <w:lang w:val="en-US" w:eastAsia="zh-CN" w:bidi="zh-CN"/>
        </w:rPr>
        <w:t>。</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color w:val="auto"/>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bidi="zh-CN"/>
        </w:rPr>
        <w:t>（2）根据部门年初目标，2025年度拟完成养老机构补助准确率执行≥90%，养老机构补助准确率</w:t>
      </w:r>
      <w:r>
        <w:rPr>
          <w:rFonts w:hint="eastAsia" w:ascii="仿宋_GB2312" w:hAnsi="仿宋_GB2312" w:eastAsia="仿宋_GB2312" w:cs="仿宋_GB2312"/>
          <w:color w:val="auto"/>
          <w:sz w:val="32"/>
          <w:szCs w:val="32"/>
          <w:highlight w:val="none"/>
          <w:lang w:val="en-US" w:eastAsia="zh-CN" w:bidi="zh-CN"/>
        </w:rPr>
        <w:t>达到了90%</w:t>
      </w:r>
      <w:r>
        <w:rPr>
          <w:rFonts w:hint="eastAsia" w:ascii="仿宋_GB2312" w:hAnsi="仿宋_GB2312" w:eastAsia="仿宋_GB2312" w:cs="仿宋_GB2312"/>
          <w:b w:val="0"/>
          <w:bCs w:val="0"/>
          <w:color w:val="auto"/>
          <w:sz w:val="32"/>
          <w:szCs w:val="32"/>
          <w:highlight w:val="none"/>
          <w:lang w:val="en-US" w:eastAsia="zh-CN" w:bidi="zh-CN"/>
        </w:rPr>
        <w:t>。</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（3）</w:t>
      </w: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根据部门年初目标，2025年度拟完成各类人员救助、补助资金发放准确率执行≥90%，各类人员救助、补助资金发放准确率</w:t>
      </w:r>
      <w:r>
        <w:rPr>
          <w:rFonts w:hint="eastAsia" w:ascii="仿宋_GB2312" w:hAnsi="仿宋_GB2312" w:eastAsia="仿宋_GB2312" w:cs="仿宋_GB2312"/>
          <w:color w:val="auto"/>
          <w:sz w:val="32"/>
          <w:szCs w:val="32"/>
          <w:highlight w:val="none"/>
          <w:lang w:val="en-US" w:eastAsia="zh-CN" w:bidi="zh-CN"/>
        </w:rPr>
        <w:t>达到了90%</w:t>
      </w:r>
      <w:r>
        <w:rPr>
          <w:rFonts w:hint="eastAsia" w:ascii="仿宋_GB2312" w:hAnsi="仿宋_GB2312" w:eastAsia="仿宋_GB2312" w:cs="仿宋_GB2312"/>
          <w:b w:val="0"/>
          <w:bCs w:val="0"/>
          <w:color w:val="auto"/>
          <w:sz w:val="32"/>
          <w:szCs w:val="32"/>
          <w:highlight w:val="none"/>
          <w:lang w:val="en-US" w:eastAsia="zh-CN" w:bidi="zh-CN"/>
        </w:rPr>
        <w:t>。</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（4）</w:t>
      </w: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根据部门年初目标，2025年度拟完成协助流浪乞讨人员返乡率标准执行=100%，协助流浪乞讨人员返乡率</w:t>
      </w:r>
      <w:r>
        <w:rPr>
          <w:rFonts w:hint="eastAsia" w:ascii="仿宋_GB2312" w:hAnsi="仿宋_GB2312" w:eastAsia="仿宋_GB2312" w:cs="仿宋_GB2312"/>
          <w:color w:val="auto"/>
          <w:sz w:val="32"/>
          <w:szCs w:val="32"/>
          <w:highlight w:val="none"/>
          <w:lang w:val="en-US" w:eastAsia="zh-CN" w:bidi="zh-CN"/>
        </w:rPr>
        <w:t>达到了100%</w:t>
      </w:r>
      <w:r>
        <w:rPr>
          <w:rFonts w:hint="eastAsia" w:ascii="仿宋_GB2312" w:hAnsi="仿宋_GB2312" w:eastAsia="仿宋_GB2312" w:cs="仿宋_GB2312"/>
          <w:b w:val="0"/>
          <w:bCs w:val="0"/>
          <w:color w:val="auto"/>
          <w:sz w:val="32"/>
          <w:szCs w:val="32"/>
          <w:highlight w:val="none"/>
          <w:lang w:val="en-US" w:eastAsia="zh-CN" w:bidi="zh-CN"/>
        </w:rPr>
        <w:t>。</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（5）</w:t>
      </w: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根据部门年初目标，2025年度拟完成残疾儿童日常照料护理达标率执行≥90%，残疾儿童日常照料护理达标率</w:t>
      </w:r>
      <w:r>
        <w:rPr>
          <w:rFonts w:hint="eastAsia" w:ascii="仿宋_GB2312" w:hAnsi="仿宋_GB2312" w:eastAsia="仿宋_GB2312" w:cs="仿宋_GB2312"/>
          <w:color w:val="auto"/>
          <w:sz w:val="32"/>
          <w:szCs w:val="32"/>
          <w:highlight w:val="none"/>
          <w:lang w:val="en-US" w:eastAsia="zh-CN" w:bidi="zh-CN"/>
        </w:rPr>
        <w:t>达到了100%</w:t>
      </w:r>
      <w:r>
        <w:rPr>
          <w:rFonts w:hint="eastAsia" w:ascii="仿宋_GB2312" w:hAnsi="仿宋_GB2312" w:eastAsia="仿宋_GB2312" w:cs="仿宋_GB2312"/>
          <w:b w:val="0"/>
          <w:bCs w:val="0"/>
          <w:color w:val="auto"/>
          <w:sz w:val="32"/>
          <w:szCs w:val="32"/>
          <w:highlight w:val="none"/>
          <w:lang w:val="en-US" w:eastAsia="zh-CN" w:bidi="zh-CN"/>
        </w:rPr>
        <w:t>。</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（6）</w:t>
      </w: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根据部门年初目标，2025年度拟完成路牌制作达标率执行≥90%，路牌制作达标率</w:t>
      </w:r>
      <w:r>
        <w:rPr>
          <w:rFonts w:hint="eastAsia" w:ascii="仿宋_GB2312" w:hAnsi="仿宋_GB2312" w:eastAsia="仿宋_GB2312" w:cs="仿宋_GB2312"/>
          <w:color w:val="auto"/>
          <w:sz w:val="32"/>
          <w:szCs w:val="32"/>
          <w:highlight w:val="none"/>
          <w:lang w:val="en-US" w:eastAsia="zh-CN" w:bidi="zh-CN"/>
        </w:rPr>
        <w:t>达到了90%</w:t>
      </w:r>
      <w:r>
        <w:rPr>
          <w:rFonts w:hint="eastAsia" w:ascii="仿宋_GB2312" w:hAnsi="仿宋_GB2312" w:eastAsia="仿宋_GB2312" w:cs="仿宋_GB2312"/>
          <w:b w:val="0"/>
          <w:bCs w:val="0"/>
          <w:color w:val="auto"/>
          <w:sz w:val="32"/>
          <w:szCs w:val="32"/>
          <w:highlight w:val="none"/>
          <w:lang w:val="en-US" w:eastAsia="zh-CN" w:bidi="zh-CN"/>
        </w:rPr>
        <w:t>。</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（7）</w:t>
      </w:r>
      <w:r>
        <w:rPr>
          <w:rFonts w:hint="eastAsia" w:ascii="仿宋_GB2312" w:hAnsi="仿宋_GB2312" w:eastAsia="仿宋_GB2312" w:cs="仿宋_GB2312"/>
          <w:b w:val="0"/>
          <w:bCs w:val="0"/>
          <w:color w:val="auto"/>
          <w:sz w:val="32"/>
          <w:szCs w:val="32"/>
          <w:highlight w:val="none"/>
          <w:lang w:val="en-US" w:eastAsia="zh-CN" w:bidi="zh-CN"/>
        </w:rPr>
        <w:t>根据部门年初目标，2025年度拟完成火化遗体与骨灰存放及时准确、无差错率执行≥90%，火化遗体与骨灰存放及时准确、无差错率</w:t>
      </w:r>
      <w:r>
        <w:rPr>
          <w:rFonts w:hint="eastAsia" w:ascii="仿宋_GB2312" w:hAnsi="仿宋_GB2312" w:eastAsia="仿宋_GB2312" w:cs="仿宋_GB2312"/>
          <w:color w:val="auto"/>
          <w:sz w:val="32"/>
          <w:szCs w:val="32"/>
          <w:highlight w:val="none"/>
          <w:lang w:val="en-US" w:eastAsia="zh-CN" w:bidi="zh-CN"/>
        </w:rPr>
        <w:t>达到了100%</w:t>
      </w:r>
      <w:r>
        <w:rPr>
          <w:rFonts w:hint="eastAsia" w:ascii="仿宋_GB2312" w:hAnsi="仿宋_GB2312" w:eastAsia="仿宋_GB2312" w:cs="仿宋_GB2312"/>
          <w:b w:val="0"/>
          <w:bCs w:val="0"/>
          <w:color w:val="auto"/>
          <w:sz w:val="32"/>
          <w:szCs w:val="32"/>
          <w:highlight w:val="none"/>
          <w:lang w:val="en-US" w:eastAsia="zh-CN" w:bidi="zh-CN"/>
        </w:rPr>
        <w:t>。</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sz w:val="32"/>
          <w:szCs w:val="32"/>
          <w:highlight w:val="none"/>
          <w:lang w:val="en-US" w:eastAsia="zh-CN" w:bidi="zh-CN"/>
        </w:rPr>
        <w:t>3.时效指标分析</w:t>
      </w:r>
      <w:r>
        <w:rPr>
          <w:rFonts w:hint="eastAsia" w:ascii="仿宋_GB2312" w:hAnsi="仿宋_GB2312" w:eastAsia="仿宋_GB2312" w:cs="仿宋_GB2312"/>
          <w:color w:val="auto"/>
          <w:kern w:val="2"/>
          <w:sz w:val="32"/>
          <w:szCs w:val="32"/>
          <w:highlight w:val="none"/>
          <w:lang w:val="en-US" w:eastAsia="zh-CN" w:bidi="ar-SA"/>
        </w:rPr>
        <w:t>（权重1.75分，得1.75分）</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各项工作完成时限：</w:t>
      </w:r>
      <w:r>
        <w:rPr>
          <w:rFonts w:hint="eastAsia" w:cs="仿宋_GB2312"/>
          <w:color w:val="auto"/>
          <w:sz w:val="32"/>
          <w:szCs w:val="32"/>
          <w:highlight w:val="none"/>
          <w:lang w:val="en-US" w:eastAsia="zh-CN" w:bidi="zh-CN"/>
        </w:rPr>
        <w:t>2025年度</w:t>
      </w:r>
      <w:r>
        <w:rPr>
          <w:rFonts w:hint="eastAsia" w:ascii="仿宋_GB2312" w:hAnsi="仿宋_GB2312" w:eastAsia="仿宋_GB2312" w:cs="仿宋_GB2312"/>
          <w:color w:val="auto"/>
          <w:sz w:val="32"/>
          <w:szCs w:val="32"/>
          <w:highlight w:val="none"/>
          <w:lang w:val="en-US" w:eastAsia="zh-CN" w:bidi="zh-CN"/>
        </w:rPr>
        <w:t>我局开展的各项工作均在202</w:t>
      </w:r>
      <w:r>
        <w:rPr>
          <w:rFonts w:hint="eastAsia" w:cs="仿宋_GB2312"/>
          <w:color w:val="auto"/>
          <w:sz w:val="32"/>
          <w:szCs w:val="32"/>
          <w:highlight w:val="none"/>
          <w:lang w:val="en-US" w:eastAsia="zh-CN" w:bidi="zh-CN"/>
        </w:rPr>
        <w:t>5</w:t>
      </w:r>
      <w:r>
        <w:rPr>
          <w:rFonts w:hint="eastAsia" w:ascii="仿宋_GB2312" w:hAnsi="仿宋_GB2312" w:eastAsia="仿宋_GB2312" w:cs="仿宋_GB2312"/>
          <w:color w:val="auto"/>
          <w:sz w:val="32"/>
          <w:szCs w:val="32"/>
          <w:highlight w:val="none"/>
          <w:lang w:val="en-US" w:eastAsia="zh-CN" w:bidi="zh-CN"/>
        </w:rPr>
        <w:t>年</w:t>
      </w:r>
      <w:r>
        <w:rPr>
          <w:rFonts w:hint="eastAsia" w:cs="仿宋_GB2312"/>
          <w:color w:val="auto"/>
          <w:sz w:val="32"/>
          <w:szCs w:val="32"/>
          <w:highlight w:val="none"/>
          <w:lang w:val="en-US" w:eastAsia="zh-CN" w:bidi="zh-CN"/>
        </w:rPr>
        <w:t>12月31日</w:t>
      </w:r>
      <w:r>
        <w:rPr>
          <w:rFonts w:hint="eastAsia" w:ascii="仿宋_GB2312" w:hAnsi="仿宋_GB2312" w:eastAsia="仿宋_GB2312" w:cs="仿宋_GB2312"/>
          <w:color w:val="auto"/>
          <w:sz w:val="32"/>
          <w:szCs w:val="32"/>
          <w:highlight w:val="none"/>
          <w:lang w:val="en-US" w:eastAsia="zh-CN" w:bidi="zh-CN"/>
        </w:rPr>
        <w:t>之前完成，全年工作完成及时性良好。</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2"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sz w:val="32"/>
          <w:szCs w:val="32"/>
          <w:highlight w:val="none"/>
          <w:lang w:val="en-US" w:eastAsia="zh-CN" w:bidi="zh-CN"/>
        </w:rPr>
        <w:t>4.成本指标分析</w:t>
      </w:r>
      <w:r>
        <w:rPr>
          <w:rFonts w:hint="eastAsia" w:ascii="仿宋_GB2312" w:hAnsi="仿宋_GB2312" w:eastAsia="仿宋_GB2312" w:cs="仿宋_GB2312"/>
          <w:color w:val="auto"/>
          <w:kern w:val="2"/>
          <w:sz w:val="32"/>
          <w:szCs w:val="32"/>
          <w:highlight w:val="none"/>
          <w:lang w:val="en-US" w:eastAsia="zh-CN" w:bidi="ar-SA"/>
        </w:rPr>
        <w:t>（权重11.25分，得11.25分）</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cs="仿宋_GB2312"/>
          <w:color w:val="auto"/>
          <w:sz w:val="32"/>
          <w:szCs w:val="32"/>
          <w:highlight w:val="none"/>
          <w:lang w:val="en-US" w:eastAsia="zh-CN" w:bidi="zh-CN"/>
        </w:rPr>
        <w:t>2025年度</w:t>
      </w:r>
      <w:r>
        <w:rPr>
          <w:rFonts w:hint="eastAsia" w:ascii="仿宋_GB2312" w:hAnsi="仿宋_GB2312" w:eastAsia="仿宋_GB2312" w:cs="仿宋_GB2312"/>
          <w:color w:val="auto"/>
          <w:sz w:val="32"/>
          <w:szCs w:val="32"/>
          <w:highlight w:val="none"/>
          <w:lang w:val="en-US" w:eastAsia="zh-CN" w:bidi="zh-CN"/>
        </w:rPr>
        <w:t>我局开展的各项工作成本均控制在年初预算内，成本控制情况良好，均未超年初预算政策规定要求。具体成本指标分析为：</w:t>
      </w:r>
    </w:p>
    <w:p>
      <w:pPr>
        <w:keepNext w:val="0"/>
        <w:keepLines w:val="0"/>
        <w:pageBreakBefore w:val="0"/>
        <w:widowControl w:val="0"/>
        <w:numPr>
          <w:ilvl w:val="0"/>
          <w:numId w:val="5"/>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“五类”老年人服务支出标准＝200元/月/人，实际按200元/月/人标准发放。</w:t>
      </w:r>
    </w:p>
    <w:p>
      <w:pPr>
        <w:keepNext w:val="0"/>
        <w:keepLines w:val="0"/>
        <w:pageBreakBefore w:val="0"/>
        <w:widowControl w:val="0"/>
        <w:numPr>
          <w:ilvl w:val="0"/>
          <w:numId w:val="5"/>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养老机构运营补助</w:t>
      </w:r>
      <w:r>
        <w:rPr>
          <w:rFonts w:hint="eastAsia" w:cs="仿宋_GB2312"/>
          <w:color w:val="auto"/>
          <w:sz w:val="32"/>
          <w:szCs w:val="32"/>
          <w:highlight w:val="none"/>
          <w:lang w:val="en-US" w:eastAsia="zh-CN" w:bidi="zh-CN"/>
        </w:rPr>
        <w:t>（半失能）</w:t>
      </w:r>
      <w:r>
        <w:rPr>
          <w:rFonts w:hint="eastAsia" w:ascii="仿宋_GB2312" w:hAnsi="仿宋_GB2312" w:eastAsia="仿宋_GB2312" w:cs="仿宋_GB2312"/>
          <w:color w:val="auto"/>
          <w:sz w:val="32"/>
          <w:szCs w:val="32"/>
          <w:highlight w:val="none"/>
          <w:lang w:val="en-US" w:eastAsia="zh-CN" w:bidi="zh-CN"/>
        </w:rPr>
        <w:t>标准＝100元/月/人，实际按100元/月/人标准发放</w:t>
      </w:r>
      <w:r>
        <w:rPr>
          <w:rFonts w:hint="eastAsia" w:cs="仿宋_GB2312"/>
          <w:color w:val="auto"/>
          <w:sz w:val="32"/>
          <w:szCs w:val="32"/>
          <w:highlight w:val="none"/>
          <w:lang w:val="en-US" w:eastAsia="zh-CN" w:bidi="zh-CN"/>
        </w:rPr>
        <w:t>。</w:t>
      </w:r>
    </w:p>
    <w:p>
      <w:pPr>
        <w:keepNext w:val="0"/>
        <w:keepLines w:val="0"/>
        <w:pageBreakBefore w:val="0"/>
        <w:widowControl w:val="0"/>
        <w:numPr>
          <w:ilvl w:val="0"/>
          <w:numId w:val="5"/>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养老机构运营补助</w:t>
      </w:r>
      <w:r>
        <w:rPr>
          <w:rFonts w:hint="eastAsia" w:cs="仿宋_GB2312"/>
          <w:color w:val="auto"/>
          <w:sz w:val="32"/>
          <w:szCs w:val="32"/>
          <w:highlight w:val="none"/>
          <w:lang w:val="en-US" w:eastAsia="zh-CN" w:bidi="zh-CN"/>
        </w:rPr>
        <w:t>（失能）</w:t>
      </w:r>
      <w:r>
        <w:rPr>
          <w:rFonts w:hint="eastAsia" w:ascii="仿宋_GB2312" w:hAnsi="仿宋_GB2312" w:eastAsia="仿宋_GB2312" w:cs="仿宋_GB2312"/>
          <w:color w:val="auto"/>
          <w:sz w:val="32"/>
          <w:szCs w:val="32"/>
          <w:highlight w:val="none"/>
          <w:lang w:val="en-US" w:eastAsia="zh-CN" w:bidi="zh-CN"/>
        </w:rPr>
        <w:t>标准＝200元/月/人，实际按200元/月/人标准发放。</w:t>
      </w:r>
    </w:p>
    <w:p>
      <w:pPr>
        <w:keepNext w:val="0"/>
        <w:keepLines w:val="0"/>
        <w:pageBreakBefore w:val="0"/>
        <w:widowControl w:val="0"/>
        <w:numPr>
          <w:ilvl w:val="0"/>
          <w:numId w:val="5"/>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城乡低保补助标准＝9</w:t>
      </w:r>
      <w:r>
        <w:rPr>
          <w:rFonts w:hint="eastAsia" w:cs="仿宋_GB2312"/>
          <w:color w:val="auto"/>
          <w:sz w:val="32"/>
          <w:szCs w:val="32"/>
          <w:highlight w:val="none"/>
          <w:lang w:val="en-US" w:eastAsia="zh-CN" w:bidi="zh-CN"/>
        </w:rPr>
        <w:t>6</w:t>
      </w:r>
      <w:r>
        <w:rPr>
          <w:rFonts w:hint="eastAsia" w:ascii="仿宋_GB2312" w:hAnsi="仿宋_GB2312" w:eastAsia="仿宋_GB2312" w:cs="仿宋_GB2312"/>
          <w:color w:val="auto"/>
          <w:sz w:val="32"/>
          <w:szCs w:val="32"/>
          <w:highlight w:val="none"/>
          <w:lang w:val="en-US" w:eastAsia="zh-CN" w:bidi="zh-CN"/>
        </w:rPr>
        <w:t>5元/月/人，实际按</w:t>
      </w:r>
      <w:r>
        <w:rPr>
          <w:rFonts w:hint="eastAsia" w:cs="仿宋_GB2312"/>
          <w:color w:val="auto"/>
          <w:sz w:val="32"/>
          <w:szCs w:val="32"/>
          <w:highlight w:val="none"/>
          <w:lang w:val="en-US" w:eastAsia="zh-CN" w:bidi="zh-CN"/>
        </w:rPr>
        <w:t>1015</w:t>
      </w:r>
      <w:r>
        <w:rPr>
          <w:rFonts w:hint="eastAsia" w:ascii="仿宋_GB2312" w:hAnsi="仿宋_GB2312" w:eastAsia="仿宋_GB2312" w:cs="仿宋_GB2312"/>
          <w:color w:val="auto"/>
          <w:sz w:val="32"/>
          <w:szCs w:val="32"/>
          <w:highlight w:val="none"/>
          <w:lang w:val="en-US" w:eastAsia="zh-CN" w:bidi="zh-CN"/>
        </w:rPr>
        <w:t>元/月/人标准发放。</w:t>
      </w:r>
    </w:p>
    <w:p>
      <w:pPr>
        <w:keepNext w:val="0"/>
        <w:keepLines w:val="0"/>
        <w:pageBreakBefore w:val="0"/>
        <w:widowControl w:val="0"/>
        <w:numPr>
          <w:ilvl w:val="0"/>
          <w:numId w:val="5"/>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城乡特困补助标准＝1</w:t>
      </w:r>
      <w:r>
        <w:rPr>
          <w:rFonts w:hint="eastAsia" w:cs="仿宋_GB2312"/>
          <w:color w:val="auto"/>
          <w:sz w:val="32"/>
          <w:szCs w:val="32"/>
          <w:highlight w:val="none"/>
          <w:lang w:val="en-US" w:eastAsia="zh-CN" w:bidi="zh-CN"/>
        </w:rPr>
        <w:t>260</w:t>
      </w:r>
      <w:r>
        <w:rPr>
          <w:rFonts w:hint="eastAsia" w:ascii="仿宋_GB2312" w:hAnsi="仿宋_GB2312" w:eastAsia="仿宋_GB2312" w:cs="仿宋_GB2312"/>
          <w:color w:val="auto"/>
          <w:sz w:val="32"/>
          <w:szCs w:val="32"/>
          <w:highlight w:val="none"/>
          <w:lang w:val="en-US" w:eastAsia="zh-CN" w:bidi="zh-CN"/>
        </w:rPr>
        <w:t>元/月/人，实际按1</w:t>
      </w:r>
      <w:r>
        <w:rPr>
          <w:rFonts w:hint="eastAsia" w:cs="仿宋_GB2312"/>
          <w:color w:val="auto"/>
          <w:sz w:val="32"/>
          <w:szCs w:val="32"/>
          <w:highlight w:val="none"/>
          <w:lang w:val="en-US" w:eastAsia="zh-CN" w:bidi="zh-CN"/>
        </w:rPr>
        <w:t>33</w:t>
      </w:r>
      <w:r>
        <w:rPr>
          <w:rFonts w:hint="eastAsia" w:ascii="仿宋_GB2312" w:hAnsi="仿宋_GB2312" w:eastAsia="仿宋_GB2312" w:cs="仿宋_GB2312"/>
          <w:color w:val="auto"/>
          <w:sz w:val="32"/>
          <w:szCs w:val="32"/>
          <w:highlight w:val="none"/>
          <w:lang w:val="en-US" w:eastAsia="zh-CN" w:bidi="zh-CN"/>
        </w:rPr>
        <w:t>0元/月/人标准发放。</w:t>
      </w:r>
    </w:p>
    <w:p>
      <w:pPr>
        <w:keepNext w:val="0"/>
        <w:keepLines w:val="0"/>
        <w:pageBreakBefore w:val="0"/>
        <w:widowControl w:val="0"/>
        <w:numPr>
          <w:ilvl w:val="0"/>
          <w:numId w:val="5"/>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18岁以下孤儿补助标准</w:t>
      </w:r>
      <w:r>
        <w:rPr>
          <w:rFonts w:hint="default" w:cs="仿宋_GB2312"/>
          <w:color w:val="auto"/>
          <w:sz w:val="32"/>
          <w:szCs w:val="32"/>
          <w:highlight w:val="none"/>
          <w:lang w:val="en-US" w:eastAsia="zh-CN" w:bidi="zh-CN"/>
        </w:rPr>
        <w:t>(</w:t>
      </w:r>
      <w:r>
        <w:rPr>
          <w:rFonts w:hint="eastAsia" w:cs="仿宋_GB2312"/>
          <w:color w:val="auto"/>
          <w:sz w:val="32"/>
          <w:szCs w:val="32"/>
          <w:highlight w:val="none"/>
          <w:lang w:val="en-US" w:eastAsia="zh-CN" w:bidi="zh-CN"/>
        </w:rPr>
        <w:t>机构养育）</w:t>
      </w:r>
      <w:r>
        <w:rPr>
          <w:rFonts w:hint="eastAsia" w:ascii="仿宋_GB2312" w:hAnsi="仿宋_GB2312" w:eastAsia="仿宋_GB2312" w:cs="仿宋_GB2312"/>
          <w:color w:val="auto"/>
          <w:sz w:val="32"/>
          <w:szCs w:val="32"/>
          <w:highlight w:val="none"/>
          <w:lang w:val="en-US" w:eastAsia="zh-CN" w:bidi="zh-CN"/>
        </w:rPr>
        <w:t>＝2</w:t>
      </w:r>
      <w:r>
        <w:rPr>
          <w:rFonts w:hint="eastAsia" w:cs="仿宋_GB2312"/>
          <w:color w:val="auto"/>
          <w:sz w:val="32"/>
          <w:szCs w:val="32"/>
          <w:highlight w:val="none"/>
          <w:lang w:val="en-US" w:eastAsia="zh-CN" w:bidi="zh-CN"/>
        </w:rPr>
        <w:t>12</w:t>
      </w:r>
      <w:r>
        <w:rPr>
          <w:rFonts w:hint="eastAsia" w:ascii="仿宋_GB2312" w:hAnsi="仿宋_GB2312" w:eastAsia="仿宋_GB2312" w:cs="仿宋_GB2312"/>
          <w:color w:val="auto"/>
          <w:sz w:val="32"/>
          <w:szCs w:val="32"/>
          <w:highlight w:val="none"/>
          <w:lang w:val="en-US" w:eastAsia="zh-CN" w:bidi="zh-CN"/>
        </w:rPr>
        <w:t>0元/月/人，实际按2120元/月/人标准发放。</w:t>
      </w:r>
    </w:p>
    <w:p>
      <w:pPr>
        <w:keepNext w:val="0"/>
        <w:keepLines w:val="0"/>
        <w:pageBreakBefore w:val="0"/>
        <w:widowControl w:val="0"/>
        <w:numPr>
          <w:ilvl w:val="0"/>
          <w:numId w:val="5"/>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流浪乞讨人员救助成本控制率≤100%，实际完成100%。</w:t>
      </w:r>
    </w:p>
    <w:p>
      <w:pPr>
        <w:keepNext w:val="0"/>
        <w:keepLines w:val="0"/>
        <w:pageBreakBefore w:val="0"/>
        <w:widowControl w:val="0"/>
        <w:numPr>
          <w:ilvl w:val="0"/>
          <w:numId w:val="5"/>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路牌的设置与维护成本控制率≤100%，实际完成100%。</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楷体_GB2312" w:hAnsi="楷体_GB2312" w:eastAsia="楷体_GB2312" w:cs="楷体_GB2312"/>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zh-CN"/>
        </w:rPr>
        <w:t>（9）殡仪馆火化遗体与骨灰存放成本控制率≤100%，实际完成100%</w:t>
      </w:r>
      <w:r>
        <w:rPr>
          <w:rFonts w:hint="eastAsia" w:cs="仿宋_GB2312"/>
          <w:color w:val="auto"/>
          <w:sz w:val="32"/>
          <w:szCs w:val="32"/>
          <w:highlight w:val="none"/>
          <w:lang w:val="en-US" w:eastAsia="zh-CN" w:bidi="zh-CN"/>
        </w:rPr>
        <w:t>。</w:t>
      </w:r>
      <w:bookmarkStart w:id="14" w:name="_Toc16292"/>
    </w:p>
    <w:p>
      <w:pPr>
        <w:keepNext w:val="0"/>
        <w:keepLines w:val="0"/>
        <w:pageBreakBefore w:val="0"/>
        <w:widowControl w:val="0"/>
        <w:numPr>
          <w:ilvl w:val="0"/>
          <w:numId w:val="2"/>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2" w:firstLineChars="200"/>
        <w:jc w:val="both"/>
        <w:textAlignment w:val="auto"/>
        <w:rPr>
          <w:rFonts w:hint="eastAsia" w:ascii="楷体_GB2312" w:hAnsi="楷体_GB2312" w:eastAsia="楷体_GB2312" w:cs="楷体_GB2312"/>
          <w:b w:val="0"/>
          <w:bCs w:val="0"/>
          <w:color w:val="auto"/>
          <w:kern w:val="2"/>
          <w:sz w:val="32"/>
          <w:szCs w:val="32"/>
          <w:highlight w:val="none"/>
          <w:lang w:val="en-US" w:eastAsia="zh-CN" w:bidi="ar-SA"/>
        </w:rPr>
      </w:pPr>
      <w:r>
        <w:rPr>
          <w:rFonts w:hint="eastAsia" w:ascii="楷体_GB2312" w:hAnsi="楷体_GB2312" w:eastAsia="楷体_GB2312" w:cs="楷体_GB2312"/>
          <w:b/>
          <w:bCs/>
          <w:color w:val="auto"/>
          <w:sz w:val="32"/>
          <w:szCs w:val="32"/>
          <w:highlight w:val="none"/>
          <w:lang w:val="en-US" w:eastAsia="zh-CN"/>
        </w:rPr>
        <w:t>履职效果情况</w:t>
      </w:r>
      <w:bookmarkEnd w:id="14"/>
      <w:r>
        <w:rPr>
          <w:rFonts w:hint="eastAsia" w:ascii="仿宋_GB2312" w:hAnsi="仿宋_GB2312" w:eastAsia="仿宋_GB2312" w:cs="仿宋_GB2312"/>
          <w:b w:val="0"/>
          <w:bCs w:val="0"/>
          <w:color w:val="auto"/>
          <w:sz w:val="32"/>
          <w:szCs w:val="32"/>
          <w:highlight w:val="none"/>
          <w:lang w:val="en-US" w:eastAsia="zh-CN" w:bidi="zh-CN"/>
        </w:rPr>
        <w:t>（权重32分，得32分）</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1.</w:t>
      </w:r>
      <w:r>
        <w:rPr>
          <w:rFonts w:hint="default" w:ascii="仿宋_GB2312" w:hAnsi="仿宋_GB2312" w:eastAsia="仿宋_GB2312" w:cs="仿宋_GB2312"/>
          <w:b/>
          <w:bCs/>
          <w:color w:val="auto"/>
          <w:sz w:val="32"/>
          <w:szCs w:val="32"/>
          <w:highlight w:val="none"/>
          <w:lang w:val="en-US" w:eastAsia="zh-CN" w:bidi="zh-CN"/>
        </w:rPr>
        <w:t>社会效益指标</w:t>
      </w:r>
      <w:r>
        <w:rPr>
          <w:rFonts w:hint="eastAsia" w:ascii="仿宋_GB2312" w:hAnsi="仿宋_GB2312" w:eastAsia="仿宋_GB2312" w:cs="仿宋_GB2312"/>
          <w:b/>
          <w:bCs/>
          <w:color w:val="auto"/>
          <w:sz w:val="32"/>
          <w:szCs w:val="32"/>
          <w:highlight w:val="none"/>
          <w:lang w:val="en-US" w:eastAsia="zh-CN" w:bidi="zh-CN"/>
        </w:rPr>
        <w:t>分析</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2025年度我局开展的各项工作</w:t>
      </w:r>
      <w:r>
        <w:rPr>
          <w:rFonts w:hint="default" w:ascii="仿宋_GB2312" w:hAnsi="仿宋_GB2312" w:eastAsia="仿宋_GB2312" w:cs="仿宋_GB2312"/>
          <w:color w:val="auto"/>
          <w:sz w:val="32"/>
          <w:szCs w:val="32"/>
          <w:highlight w:val="none"/>
          <w:lang w:val="en-US" w:eastAsia="zh-CN" w:bidi="zh-CN"/>
        </w:rPr>
        <w:t>社会效益指标</w:t>
      </w:r>
      <w:r>
        <w:rPr>
          <w:rFonts w:hint="eastAsia" w:ascii="仿宋_GB2312" w:hAnsi="仿宋_GB2312" w:eastAsia="仿宋_GB2312" w:cs="仿宋_GB2312"/>
          <w:color w:val="auto"/>
          <w:sz w:val="32"/>
          <w:szCs w:val="32"/>
          <w:highlight w:val="none"/>
          <w:lang w:val="en-US" w:eastAsia="zh-CN" w:bidi="zh-CN"/>
        </w:rPr>
        <w:t>完成情况良好，均达到年初预算政策规定要求。具体社会效益指标分析为：</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（1）养老机构护理型床位占比≥60%，实际拟完成养老机构护理型床位占比达到73%。</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（2）城乡低保标准年度增速≥5%，实际拟完成城乡低保标准年度增速达到5%。</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default"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（3）提升救助管理工作服务能力=100%，实际拟完成提升救助管理工作服务能力达到100%。</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（4）殡仪馆遗体火化与骨灰存放成本占比率≤20%，实际拟完成殡仪馆遗体火化与骨灰存放成本占比率为5.28%。</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2.可持续影响指标分析</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2025年民政领域政策实施延续年度=3年，实际完成值达标。</w:t>
      </w:r>
      <w:bookmarkStart w:id="15" w:name="_Toc26195"/>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2" w:firstLineChars="200"/>
        <w:jc w:val="both"/>
        <w:textAlignment w:val="auto"/>
        <w:rPr>
          <w:rFonts w:hint="default" w:cs="仿宋_GB2312"/>
          <w:b/>
          <w:bCs/>
          <w:color w:val="auto"/>
          <w:sz w:val="32"/>
          <w:szCs w:val="32"/>
          <w:highlight w:val="none"/>
          <w:lang w:val="en-US" w:eastAsia="zh-CN" w:bidi="zh-CN"/>
        </w:rPr>
      </w:pPr>
      <w:r>
        <w:rPr>
          <w:rFonts w:hint="eastAsia" w:ascii="楷体_GB2312" w:hAnsi="楷体_GB2312" w:eastAsia="楷体_GB2312" w:cs="楷体_GB2312"/>
          <w:b/>
          <w:bCs/>
          <w:color w:val="auto"/>
          <w:sz w:val="32"/>
          <w:szCs w:val="32"/>
          <w:highlight w:val="none"/>
          <w:lang w:val="en-US" w:eastAsia="zh-CN"/>
        </w:rPr>
        <w:t>（四）社会满意度</w:t>
      </w:r>
      <w:bookmarkEnd w:id="15"/>
      <w:r>
        <w:rPr>
          <w:rFonts w:hint="eastAsia" w:ascii="仿宋_GB2312" w:hAnsi="仿宋_GB2312" w:eastAsia="仿宋_GB2312" w:cs="仿宋_GB2312"/>
          <w:b w:val="0"/>
          <w:bCs w:val="0"/>
          <w:color w:val="auto"/>
          <w:sz w:val="32"/>
          <w:szCs w:val="32"/>
          <w:highlight w:val="none"/>
          <w:lang w:val="en-US" w:eastAsia="zh-CN" w:bidi="zh-CN"/>
        </w:rPr>
        <w:t>（权重10分，得10分）</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满意度指标分析</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老年人满意度：老年人对我局2025年度部门整体履职效果的满意程度较高，达到了年初目标值。</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bidi="zh-CN"/>
        </w:rPr>
      </w:pPr>
      <w:r>
        <w:rPr>
          <w:rFonts w:hint="default" w:ascii="仿宋_GB2312" w:hAnsi="仿宋_GB2312" w:eastAsia="仿宋_GB2312" w:cs="仿宋_GB2312"/>
          <w:color w:val="auto"/>
          <w:sz w:val="32"/>
          <w:szCs w:val="32"/>
          <w:highlight w:val="none"/>
          <w:lang w:val="en-US" w:eastAsia="zh-CN" w:bidi="zh-CN"/>
        </w:rPr>
        <w:t>受救助人员满意度</w:t>
      </w:r>
      <w:r>
        <w:rPr>
          <w:rFonts w:hint="eastAsia" w:ascii="仿宋_GB2312" w:hAnsi="仿宋_GB2312" w:eastAsia="仿宋_GB2312" w:cs="仿宋_GB2312"/>
          <w:color w:val="auto"/>
          <w:sz w:val="32"/>
          <w:szCs w:val="32"/>
          <w:highlight w:val="none"/>
          <w:lang w:val="en-US" w:eastAsia="zh-CN" w:bidi="zh-CN"/>
        </w:rPr>
        <w:t>：根据对南昌市救助站、南昌市民政事务服务中心等单位履职</w:t>
      </w:r>
      <w:r>
        <w:rPr>
          <w:rFonts w:hint="default" w:ascii="仿宋_GB2312" w:hAnsi="仿宋_GB2312" w:eastAsia="仿宋_GB2312" w:cs="仿宋_GB2312"/>
          <w:color w:val="auto"/>
          <w:sz w:val="32"/>
          <w:szCs w:val="32"/>
          <w:highlight w:val="none"/>
          <w:lang w:val="en-US" w:eastAsia="zh-CN" w:bidi="zh-CN"/>
        </w:rPr>
        <w:t>满意度调查结果显示</w:t>
      </w:r>
      <w:r>
        <w:rPr>
          <w:rFonts w:hint="eastAsia" w:ascii="仿宋_GB2312" w:hAnsi="仿宋_GB2312" w:eastAsia="仿宋_GB2312" w:cs="仿宋_GB2312"/>
          <w:color w:val="auto"/>
          <w:sz w:val="32"/>
          <w:szCs w:val="32"/>
          <w:highlight w:val="none"/>
          <w:lang w:val="en-US" w:eastAsia="zh-CN" w:bidi="zh-CN"/>
        </w:rPr>
        <w:t>，全市</w:t>
      </w:r>
      <w:r>
        <w:rPr>
          <w:rFonts w:hint="default" w:ascii="仿宋_GB2312" w:hAnsi="仿宋_GB2312" w:eastAsia="仿宋_GB2312" w:cs="仿宋_GB2312"/>
          <w:color w:val="auto"/>
          <w:sz w:val="32"/>
          <w:szCs w:val="32"/>
          <w:highlight w:val="none"/>
          <w:lang w:val="en-US" w:eastAsia="zh-CN" w:bidi="zh-CN"/>
        </w:rPr>
        <w:t>受救助人员</w:t>
      </w:r>
      <w:r>
        <w:rPr>
          <w:rFonts w:hint="eastAsia" w:ascii="仿宋_GB2312" w:hAnsi="仿宋_GB2312" w:eastAsia="仿宋_GB2312" w:cs="仿宋_GB2312"/>
          <w:color w:val="auto"/>
          <w:sz w:val="32"/>
          <w:szCs w:val="32"/>
          <w:highlight w:val="none"/>
          <w:lang w:val="en-US" w:eastAsia="zh-CN" w:bidi="zh-CN"/>
        </w:rPr>
        <w:t>对部门开展的各项民政领域救助工作满意度达95%以上，故</w:t>
      </w:r>
      <w:r>
        <w:rPr>
          <w:rFonts w:hint="default" w:ascii="仿宋_GB2312" w:hAnsi="仿宋_GB2312" w:eastAsia="仿宋_GB2312" w:cs="仿宋_GB2312"/>
          <w:color w:val="auto"/>
          <w:sz w:val="32"/>
          <w:szCs w:val="32"/>
          <w:highlight w:val="none"/>
          <w:lang w:val="en-US" w:eastAsia="zh-CN" w:bidi="zh-CN"/>
        </w:rPr>
        <w:t>受救助人员</w:t>
      </w:r>
      <w:r>
        <w:rPr>
          <w:rFonts w:hint="eastAsia" w:ascii="仿宋_GB2312" w:hAnsi="仿宋_GB2312" w:eastAsia="仿宋_GB2312" w:cs="仿宋_GB2312"/>
          <w:color w:val="auto"/>
          <w:sz w:val="32"/>
          <w:szCs w:val="32"/>
          <w:highlight w:val="none"/>
          <w:lang w:val="en-US" w:eastAsia="zh-CN" w:bidi="zh-CN"/>
        </w:rPr>
        <w:t>对我局2025年度部门整体履职效果的满意程度较高，达到了年初目标值。</w:t>
      </w:r>
      <w:bookmarkStart w:id="16" w:name="_Toc24353"/>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0" w:firstLineChars="200"/>
        <w:jc w:val="both"/>
        <w:textAlignment w:val="auto"/>
        <w:rPr>
          <w:rFonts w:hint="eastAsia" w:ascii="黑体" w:hAnsi="黑体" w:eastAsia="黑体" w:cs="Times New Roman"/>
          <w:color w:val="000000"/>
          <w:kern w:val="2"/>
          <w:sz w:val="32"/>
          <w:szCs w:val="32"/>
          <w:lang w:val="en-US" w:eastAsia="zh-CN" w:bidi="ar-SA"/>
        </w:rPr>
      </w:pPr>
      <w:r>
        <w:rPr>
          <w:rFonts w:hint="eastAsia" w:ascii="黑体" w:hAnsi="黑体" w:eastAsia="黑体" w:cs="Times New Roman"/>
          <w:color w:val="000000"/>
          <w:kern w:val="2"/>
          <w:sz w:val="32"/>
          <w:szCs w:val="32"/>
          <w:lang w:val="en-US" w:eastAsia="zh-CN" w:bidi="ar-SA"/>
        </w:rPr>
        <w:t>三、部门整体支出绩效中存在问题及改进措施</w:t>
      </w:r>
      <w:bookmarkEnd w:id="16"/>
      <w:bookmarkStart w:id="17" w:name="_Toc19735"/>
      <w:bookmarkStart w:id="18" w:name="_Toc69230109"/>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321" w:firstLineChars="100"/>
        <w:jc w:val="both"/>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（一）主要问题及原因分析</w:t>
      </w:r>
      <w:bookmarkEnd w:id="17"/>
      <w:bookmarkEnd w:id="18"/>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lang w:val="en-US" w:eastAsia="zh-CN" w:bidi="zh-CN"/>
        </w:rPr>
      </w:pPr>
      <w:r>
        <w:rPr>
          <w:rFonts w:hint="eastAsia" w:ascii="仿宋_GB2312" w:hAnsi="仿宋_GB2312" w:eastAsia="仿宋_GB2312" w:cs="仿宋_GB2312"/>
          <w:b/>
          <w:bCs/>
          <w:color w:val="auto"/>
          <w:sz w:val="32"/>
          <w:szCs w:val="32"/>
          <w:highlight w:val="none"/>
          <w:lang w:val="en-US" w:eastAsia="zh-CN" w:bidi="zh-CN"/>
        </w:rPr>
        <w:t>1.民政业务绩效</w:t>
      </w:r>
      <w:r>
        <w:rPr>
          <w:rFonts w:hint="eastAsia" w:cs="仿宋_GB2312"/>
          <w:b/>
          <w:bCs/>
          <w:color w:val="auto"/>
          <w:sz w:val="32"/>
          <w:szCs w:val="32"/>
          <w:highlight w:val="none"/>
          <w:lang w:val="en-US" w:eastAsia="zh-CN" w:bidi="zh-CN"/>
        </w:rPr>
        <w:t>指标设置不准确</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民政业务绩效指标设置不准确。指标设置时统计口径不准确，导致偏差较大，例如</w:t>
      </w:r>
      <w:bookmarkStart w:id="19" w:name="OLE_LINK2"/>
      <w:r>
        <w:rPr>
          <w:rFonts w:hint="eastAsia" w:ascii="仿宋_GB2312" w:hAnsi="仿宋_GB2312" w:eastAsia="仿宋_GB2312" w:cs="仿宋_GB2312"/>
          <w:color w:val="auto"/>
          <w:kern w:val="2"/>
          <w:sz w:val="32"/>
          <w:szCs w:val="32"/>
          <w:highlight w:val="none"/>
          <w:lang w:val="en-US" w:eastAsia="zh-CN" w:bidi="ar-SA"/>
        </w:rPr>
        <w:t>数量指标</w:t>
      </w:r>
      <w:bookmarkEnd w:id="19"/>
      <w:r>
        <w:rPr>
          <w:rFonts w:hint="eastAsia" w:ascii="仿宋_GB2312" w:hAnsi="仿宋_GB2312" w:eastAsia="仿宋_GB2312" w:cs="仿宋_GB2312"/>
          <w:color w:val="auto"/>
          <w:kern w:val="2"/>
          <w:sz w:val="32"/>
          <w:szCs w:val="32"/>
          <w:highlight w:val="none"/>
          <w:lang w:val="en-US" w:eastAsia="zh-CN" w:bidi="ar-SA"/>
        </w:rPr>
        <w:t>“核查委托户次”，只统计了接受委托的“户次”，却未区分是“初次核查”还是“重复核查”、是“委托已受理”还是“核查已完成”，导致可能因反复退回补件而累积大量无效户次，看似数据量大，实则并未转化为实际救助审批的有效产出；“患者救治人数”属于根据实际营业情况变化的指标，预估的准确性有待提升。</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left="0" w:leftChars="0" w:firstLine="642" w:firstLineChars="200"/>
        <w:jc w:val="both"/>
        <w:textAlignment w:val="auto"/>
        <w:rPr>
          <w:rFonts w:hint="eastAsia" w:ascii="仿宋_GB2312" w:hAnsi="仿宋_GB2312" w:eastAsia="仿宋_GB2312" w:cs="仿宋_GB2312"/>
          <w:b/>
          <w:bCs/>
          <w:color w:val="auto"/>
          <w:kern w:val="2"/>
          <w:sz w:val="32"/>
          <w:szCs w:val="32"/>
          <w:highlight w:val="none"/>
          <w:lang w:val="en-US" w:eastAsia="zh-CN" w:bidi="ar-SA"/>
        </w:rPr>
      </w:pPr>
      <w:bookmarkStart w:id="20" w:name="OLE_LINK3"/>
      <w:r>
        <w:rPr>
          <w:rFonts w:hint="eastAsia" w:ascii="仿宋_GB2312" w:hAnsi="仿宋_GB2312" w:eastAsia="仿宋_GB2312" w:cs="仿宋_GB2312"/>
          <w:b/>
          <w:bCs/>
          <w:color w:val="auto"/>
          <w:sz w:val="32"/>
          <w:szCs w:val="32"/>
          <w:highlight w:val="none"/>
          <w:lang w:val="en-US" w:eastAsia="zh-CN" w:bidi="zh-CN"/>
        </w:rPr>
        <w:t>2.</w:t>
      </w:r>
      <w:r>
        <w:rPr>
          <w:rFonts w:hint="eastAsia" w:ascii="仿宋_GB2312" w:hAnsi="仿宋_GB2312" w:eastAsia="仿宋_GB2312" w:cs="仿宋_GB2312"/>
          <w:b/>
          <w:bCs/>
          <w:color w:val="auto"/>
          <w:kern w:val="2"/>
          <w:sz w:val="32"/>
          <w:szCs w:val="32"/>
          <w:highlight w:val="none"/>
          <w:lang w:val="en-US" w:eastAsia="zh-CN" w:bidi="ar-SA"/>
        </w:rPr>
        <w:t>基础性工作绩效指标仍需夯实</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基础性工作绩效指标仍需夯实。现有指标对底层能力的牵引不足，养老、殡葬、社会救助等业务系统间的互联互通与实时预警能力尚未纳入硬性考核，而职业技能竞赛成绩也未有效转化为对队伍实操能力的常态化检验，制约了民政服务的整体效能与高质量发展。</w:t>
      </w:r>
    </w:p>
    <w:bookmarkEnd w:id="20"/>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leftChars="0" w:right="0" w:rightChars="0"/>
        <w:jc w:val="both"/>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 xml:space="preserve">    （二）改进的方向和具体措施</w:t>
      </w:r>
      <w:bookmarkStart w:id="21" w:name="_Toc13551"/>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leftChars="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针对民政业务绩效指标设置不准确的问题，改进的核心方向在于推动指标设计从单纯的“数量统计”向深层次的“质量与效果评估”转变。首先要着力优化统计口径，彻底剔除无效数据的干扰。以“核查委托户次”这一指标为例，当前的问题在于统计过于粗放，未能区分初次委托与重复退回补件，导致大量无效户次虚增工作量。改进的具体措施是将该指标进行精细化拆解，细化为“新增委托核查量”和“异常复核委托量”，同时引入“核查完成率”和“核查通过率”这两个关键指标，重点考核委托核查最终转化为行政审批有效产出的比例。这样便能清晰反映出反复退件所积累的“数据泡沫”，准确衡量实际工作成效。其次，针对“患者救治人数”等受客观因素影响、预估难度大的指标，应建立动态校准机制。不再简单地采用年初定死、年底考核的静态模式，而是引入滚动预测，结合季度数据流进行修正调整，并设置合理的偏差容忍区间，鼓励实事求是的工作态度，确保考核结果既符合实际又具备公信力。</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leftChars="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在夯实基础性工作绩效指标方面，改进方向是打破业务系统间的壁垒，强化底层能力建设，并将竞赛成果转化为全员实战能力。当前，养老、殡葬、社会救助等业务系统之间数据割裂，互联互通和实时预警能力尚未纳入硬性考核，这直接制约了民政服务的整体效能。具体改进措施应包括在绩效体系中增设“数据通联率”和“主动发现率”等硬性指标。通过考核各业务系统与大数据平台的数据实时共享情况，确保殡葬数据能即时同步至救助系统以自动核减违规享受待遇的人员，利用医疗支出等数据触发救助预警，从而倒逼服务模式从“被动受理”向“主动发现”转型。同时，要解决职业技能竞赛与实际工作“两张皮”的现象，必须将竞赛标准转化为常态化的练兵机制。具体做法是设立“全员业务技能达标率”和“业务操作差错率”等指标，定期按照竞赛标准对全体人员进行抽测考核，并鼓励竞赛获奖者通过“导师制”将先进经验传授给团队，真正实现以点带面，将竞赛的高标准内化为每一位工作人员的习惯性操作，从而为民政事业的高质量发展筑牢根基。</w:t>
      </w:r>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leftChars="0" w:right="0" w:rightChars="0" w:firstLine="640" w:firstLineChars="200"/>
        <w:jc w:val="both"/>
        <w:textAlignment w:val="auto"/>
        <w:rPr>
          <w:rFonts w:hint="eastAsia" w:ascii="黑体" w:hAnsi="黑体" w:eastAsia="黑体" w:cs="Times New Roman"/>
          <w:color w:val="000000"/>
          <w:kern w:val="2"/>
          <w:sz w:val="32"/>
          <w:szCs w:val="32"/>
          <w:lang w:val="en-US" w:eastAsia="zh-CN" w:bidi="ar-SA"/>
        </w:rPr>
      </w:pPr>
      <w:r>
        <w:rPr>
          <w:rFonts w:hint="eastAsia" w:ascii="黑体" w:hAnsi="黑体" w:eastAsia="黑体" w:cs="Times New Roman"/>
          <w:color w:val="000000"/>
          <w:kern w:val="2"/>
          <w:sz w:val="32"/>
          <w:szCs w:val="32"/>
          <w:lang w:val="en-US" w:eastAsia="zh-CN" w:bidi="ar-SA"/>
        </w:rPr>
        <w:t>四、绩效自评结果拟应用和公开情况</w:t>
      </w:r>
      <w:bookmarkEnd w:id="21"/>
    </w:p>
    <w:p>
      <w:pPr>
        <w:keepNext w:val="0"/>
        <w:keepLines w:val="0"/>
        <w:pageBreakBefore w:val="0"/>
        <w:widowControl w:val="0"/>
        <w:numPr>
          <w:ilvl w:val="0"/>
          <w:numId w:val="0"/>
        </w:numPr>
        <w:pBdr>
          <w:bottom w:val="single" w:color="FFFFFF" w:sz="4" w:space="24"/>
        </w:pBdr>
        <w:kinsoku/>
        <w:wordWrap/>
        <w:overflowPunct/>
        <w:topLinePunct w:val="0"/>
        <w:autoSpaceDE/>
        <w:autoSpaceDN/>
        <w:bidi w:val="0"/>
        <w:adjustRightInd/>
        <w:snapToGrid/>
        <w:spacing w:before="0" w:after="0" w:line="360" w:lineRule="auto"/>
        <w:ind w:left="0" w:leftChars="0" w:firstLine="640" w:firstLineChars="200"/>
        <w:jc w:val="both"/>
        <w:textAlignment w:val="auto"/>
        <w:rPr>
          <w:rFonts w:hint="eastAsia"/>
          <w:color w:val="auto"/>
          <w:highlight w:val="none"/>
          <w:lang w:val="en-US" w:eastAsia="zh-CN"/>
        </w:rPr>
      </w:pPr>
      <w:r>
        <w:rPr>
          <w:rFonts w:hint="eastAsia" w:ascii="仿宋_GB2312" w:hAnsi="仿宋_GB2312" w:eastAsia="仿宋_GB2312" w:cs="仿宋_GB2312"/>
          <w:color w:val="auto"/>
          <w:sz w:val="32"/>
          <w:szCs w:val="32"/>
          <w:highlight w:val="none"/>
          <w:lang w:val="en-US" w:eastAsia="zh-CN" w:bidi="zh-CN"/>
        </w:rPr>
        <w:t>我局对本部门整体支出进行了绩效自评，自评得分为96.26分，自评等级为“优”，在2025年，我局将对现在完成情况较好的工作继续保持，持续提升，对不足的地方及时纠偏调整，更好的完成来年工作任务；本次绩效结果将严格按照相关绩效评价原则，保障内容真实、完整，并按要求进行公开。</w:t>
      </w:r>
    </w:p>
    <w:p>
      <w:pPr>
        <w:pStyle w:val="14"/>
        <w:keepNext w:val="0"/>
        <w:keepLines w:val="0"/>
        <w:pageBreakBefore w:val="0"/>
        <w:widowControl w:val="0"/>
        <w:kinsoku/>
        <w:wordWrap w:val="0"/>
        <w:overflowPunct/>
        <w:topLinePunct w:val="0"/>
        <w:autoSpaceDE/>
        <w:autoSpaceDN/>
        <w:bidi w:val="0"/>
        <w:adjustRightInd/>
        <w:snapToGrid/>
        <w:spacing w:before="0" w:after="0" w:line="360" w:lineRule="auto"/>
        <w:ind w:left="0" w:leftChars="0" w:firstLine="420"/>
        <w:jc w:val="right"/>
        <w:textAlignment w:val="auto"/>
        <w:rPr>
          <w:rFonts w:hint="eastAsia" w:ascii="仿宋_GB2312" w:hAnsi="仿宋_GB2312" w:eastAsia="仿宋_GB2312" w:cs="仿宋_GB2312"/>
          <w:b w:val="0"/>
          <w:bCs w:val="0"/>
          <w:color w:val="auto"/>
          <w:kern w:val="0"/>
          <w:sz w:val="32"/>
          <w:szCs w:val="32"/>
          <w:highlight w:val="none"/>
          <w:lang w:val="en-US" w:eastAsia="zh-CN" w:bidi="ar-SA"/>
        </w:rPr>
      </w:pPr>
    </w:p>
    <w:p>
      <w:pPr>
        <w:pStyle w:val="14"/>
        <w:keepNext w:val="0"/>
        <w:keepLines w:val="0"/>
        <w:pageBreakBefore w:val="0"/>
        <w:widowControl w:val="0"/>
        <w:kinsoku/>
        <w:wordWrap w:val="0"/>
        <w:overflowPunct/>
        <w:topLinePunct w:val="0"/>
        <w:autoSpaceDE/>
        <w:autoSpaceDN/>
        <w:bidi w:val="0"/>
        <w:adjustRightInd/>
        <w:snapToGrid/>
        <w:spacing w:before="0" w:after="0" w:line="360" w:lineRule="auto"/>
        <w:ind w:left="0" w:leftChars="0" w:firstLine="420"/>
        <w:jc w:val="right"/>
        <w:textAlignment w:val="auto"/>
        <w:rPr>
          <w:rFonts w:hint="default"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b w:val="0"/>
          <w:bCs w:val="0"/>
          <w:color w:val="auto"/>
          <w:kern w:val="0"/>
          <w:sz w:val="32"/>
          <w:szCs w:val="32"/>
          <w:highlight w:val="none"/>
          <w:lang w:val="en-US" w:eastAsia="zh-CN" w:bidi="ar-SA"/>
        </w:rPr>
        <w:t>2026年</w:t>
      </w:r>
      <w:r>
        <w:rPr>
          <w:rFonts w:hint="default" w:ascii="仿宋_GB2312" w:hAnsi="仿宋_GB2312" w:eastAsia="仿宋_GB2312" w:cs="仿宋_GB2312"/>
          <w:b w:val="0"/>
          <w:bCs w:val="0"/>
          <w:color w:val="auto"/>
          <w:kern w:val="0"/>
          <w:sz w:val="32"/>
          <w:szCs w:val="32"/>
          <w:highlight w:val="none"/>
          <w:lang w:val="en-US" w:eastAsia="zh-CN" w:bidi="ar-SA"/>
        </w:rPr>
        <w:t>3</w:t>
      </w:r>
      <w:r>
        <w:rPr>
          <w:rFonts w:hint="eastAsia" w:ascii="仿宋_GB2312" w:hAnsi="仿宋_GB2312" w:eastAsia="仿宋_GB2312" w:cs="仿宋_GB2312"/>
          <w:b w:val="0"/>
          <w:bCs w:val="0"/>
          <w:color w:val="auto"/>
          <w:kern w:val="0"/>
          <w:sz w:val="32"/>
          <w:szCs w:val="32"/>
          <w:highlight w:val="none"/>
          <w:lang w:val="en-US" w:eastAsia="zh-CN" w:bidi="ar-SA"/>
        </w:rPr>
        <w:t>月</w:t>
      </w:r>
      <w:r>
        <w:rPr>
          <w:rFonts w:hint="default" w:ascii="仿宋_GB2312" w:hAnsi="仿宋_GB2312" w:eastAsia="仿宋_GB2312" w:cs="仿宋_GB2312"/>
          <w:b w:val="0"/>
          <w:bCs w:val="0"/>
          <w:color w:val="auto"/>
          <w:kern w:val="0"/>
          <w:sz w:val="32"/>
          <w:szCs w:val="32"/>
          <w:highlight w:val="none"/>
          <w:lang w:val="en-US" w:eastAsia="zh-CN" w:bidi="ar-SA"/>
        </w:rPr>
        <w:t>4</w:t>
      </w:r>
      <w:r>
        <w:rPr>
          <w:rFonts w:hint="eastAsia" w:ascii="仿宋_GB2312" w:hAnsi="仿宋_GB2312" w:eastAsia="仿宋_GB2312" w:cs="仿宋_GB2312"/>
          <w:b w:val="0"/>
          <w:bCs w:val="0"/>
          <w:color w:val="auto"/>
          <w:kern w:val="0"/>
          <w:sz w:val="32"/>
          <w:szCs w:val="32"/>
          <w:highlight w:val="none"/>
          <w:lang w:val="en-US" w:eastAsia="zh-CN" w:bidi="ar-SA"/>
        </w:rPr>
        <w:t xml:space="preserve">日   </w:t>
      </w:r>
    </w:p>
    <w:sectPr>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方正楷体_GBK">
    <w:panose1 w:val="02000000000000000000"/>
    <w:charset w:val="86"/>
    <w:family w:val="auto"/>
    <w:pitch w:val="default"/>
    <w:sig w:usb0="00000001" w:usb1="08000000" w:usb2="00000000" w:usb3="00000000" w:csb0="00040000" w:csb1="00000000"/>
  </w:font>
  <w:font w:name="Droid Sans Ethiopic">
    <w:panose1 w:val="020B0606030804020204"/>
    <w:charset w:val="00"/>
    <w:family w:val="auto"/>
    <w:pitch w:val="default"/>
    <w:sig w:usb0="00000003" w:usb1="00000000" w:usb2="000008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63B80E"/>
    <w:multiLevelType w:val="singleLevel"/>
    <w:tmpl w:val="0963B80E"/>
    <w:lvl w:ilvl="0" w:tentative="0">
      <w:start w:val="2"/>
      <w:numFmt w:val="decimal"/>
      <w:suff w:val="nothing"/>
      <w:lvlText w:val="（%1）"/>
      <w:lvlJc w:val="left"/>
    </w:lvl>
  </w:abstractNum>
  <w:abstractNum w:abstractNumId="1">
    <w:nsid w:val="1169E7DA"/>
    <w:multiLevelType w:val="singleLevel"/>
    <w:tmpl w:val="1169E7DA"/>
    <w:lvl w:ilvl="0" w:tentative="0">
      <w:start w:val="1"/>
      <w:numFmt w:val="decimal"/>
      <w:suff w:val="nothing"/>
      <w:lvlText w:val="（%1）"/>
      <w:lvlJc w:val="left"/>
    </w:lvl>
  </w:abstractNum>
  <w:abstractNum w:abstractNumId="2">
    <w:nsid w:val="1DCBC7B8"/>
    <w:multiLevelType w:val="singleLevel"/>
    <w:tmpl w:val="1DCBC7B8"/>
    <w:lvl w:ilvl="0" w:tentative="0">
      <w:start w:val="2"/>
      <w:numFmt w:val="chineseCounting"/>
      <w:suff w:val="nothing"/>
      <w:lvlText w:val="（%1）"/>
      <w:lvlJc w:val="left"/>
      <w:rPr>
        <w:rFonts w:hint="eastAsia"/>
      </w:rPr>
    </w:lvl>
  </w:abstractNum>
  <w:abstractNum w:abstractNumId="3">
    <w:nsid w:val="4BF909D5"/>
    <w:multiLevelType w:val="singleLevel"/>
    <w:tmpl w:val="4BF909D5"/>
    <w:lvl w:ilvl="0" w:tentative="0">
      <w:start w:val="1"/>
      <w:numFmt w:val="chineseCounting"/>
      <w:suff w:val="nothing"/>
      <w:lvlText w:val="（%1）"/>
      <w:lvlJc w:val="left"/>
      <w:rPr>
        <w:rFonts w:hint="eastAsia"/>
        <w:b/>
      </w:rPr>
    </w:lvl>
  </w:abstractNum>
  <w:abstractNum w:abstractNumId="4">
    <w:nsid w:val="55523B1D"/>
    <w:multiLevelType w:val="singleLevel"/>
    <w:tmpl w:val="55523B1D"/>
    <w:lvl w:ilvl="0" w:tentative="0">
      <w:start w:val="1"/>
      <w:numFmt w:val="decimal"/>
      <w:suff w:val="nothing"/>
      <w:lvlText w:val="（%1）"/>
      <w:lvlJc w:val="left"/>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0YjBlMDdlMzQzYzA2MmNlMmM2NmJiNmNmZjYzYTMifQ=="/>
  </w:docVars>
  <w:rsids>
    <w:rsidRoot w:val="00172A27"/>
    <w:rsid w:val="00030F26"/>
    <w:rsid w:val="00D64AE1"/>
    <w:rsid w:val="02896897"/>
    <w:rsid w:val="02B81691"/>
    <w:rsid w:val="04593903"/>
    <w:rsid w:val="047F3F61"/>
    <w:rsid w:val="05062D68"/>
    <w:rsid w:val="05C64C12"/>
    <w:rsid w:val="06392E59"/>
    <w:rsid w:val="06416622"/>
    <w:rsid w:val="07A41C88"/>
    <w:rsid w:val="07FB1D7C"/>
    <w:rsid w:val="09391E9A"/>
    <w:rsid w:val="09F78289"/>
    <w:rsid w:val="0A1B4575"/>
    <w:rsid w:val="0B606A42"/>
    <w:rsid w:val="0F932C3D"/>
    <w:rsid w:val="1064596F"/>
    <w:rsid w:val="124C32D8"/>
    <w:rsid w:val="134358DA"/>
    <w:rsid w:val="13826402"/>
    <w:rsid w:val="175427FA"/>
    <w:rsid w:val="1A824F3A"/>
    <w:rsid w:val="1AFF3845"/>
    <w:rsid w:val="1C093853"/>
    <w:rsid w:val="1C793AAA"/>
    <w:rsid w:val="1E7312AB"/>
    <w:rsid w:val="1FFCC0FD"/>
    <w:rsid w:val="23804241"/>
    <w:rsid w:val="238F378C"/>
    <w:rsid w:val="241E7622"/>
    <w:rsid w:val="250B4343"/>
    <w:rsid w:val="25E26C58"/>
    <w:rsid w:val="26F5C34B"/>
    <w:rsid w:val="296415A5"/>
    <w:rsid w:val="2AA04E68"/>
    <w:rsid w:val="2EFD2F2F"/>
    <w:rsid w:val="2EFE5541"/>
    <w:rsid w:val="2F1949AB"/>
    <w:rsid w:val="2F8C0D19"/>
    <w:rsid w:val="30133C99"/>
    <w:rsid w:val="3081443E"/>
    <w:rsid w:val="30CD55EE"/>
    <w:rsid w:val="3107779D"/>
    <w:rsid w:val="315B369A"/>
    <w:rsid w:val="339D17DF"/>
    <w:rsid w:val="357377A3"/>
    <w:rsid w:val="36113768"/>
    <w:rsid w:val="36D75F19"/>
    <w:rsid w:val="371B6938"/>
    <w:rsid w:val="373F6235"/>
    <w:rsid w:val="37662ACE"/>
    <w:rsid w:val="3A642F28"/>
    <w:rsid w:val="3B361671"/>
    <w:rsid w:val="3D9917DC"/>
    <w:rsid w:val="3E7CA2CB"/>
    <w:rsid w:val="3EAE01DF"/>
    <w:rsid w:val="3F4C3870"/>
    <w:rsid w:val="3FBD6868"/>
    <w:rsid w:val="3FBF5FDC"/>
    <w:rsid w:val="3FCB20A3"/>
    <w:rsid w:val="40702968"/>
    <w:rsid w:val="445F4171"/>
    <w:rsid w:val="449F1652"/>
    <w:rsid w:val="459925A7"/>
    <w:rsid w:val="45E00BE3"/>
    <w:rsid w:val="47601D95"/>
    <w:rsid w:val="480013F4"/>
    <w:rsid w:val="4A631DE2"/>
    <w:rsid w:val="4B7C04B7"/>
    <w:rsid w:val="4C545E87"/>
    <w:rsid w:val="4C707570"/>
    <w:rsid w:val="4C7D0CC9"/>
    <w:rsid w:val="4D4A76EA"/>
    <w:rsid w:val="4DC500C1"/>
    <w:rsid w:val="5014040A"/>
    <w:rsid w:val="50D465DB"/>
    <w:rsid w:val="511E3BEE"/>
    <w:rsid w:val="52485F9B"/>
    <w:rsid w:val="55195DAD"/>
    <w:rsid w:val="555367E8"/>
    <w:rsid w:val="56C90B27"/>
    <w:rsid w:val="56FC530E"/>
    <w:rsid w:val="57565596"/>
    <w:rsid w:val="58516363"/>
    <w:rsid w:val="597A1397"/>
    <w:rsid w:val="5B2D4472"/>
    <w:rsid w:val="5BDFA52B"/>
    <w:rsid w:val="5BFE4BE4"/>
    <w:rsid w:val="5CDD8DC8"/>
    <w:rsid w:val="5CFC0C33"/>
    <w:rsid w:val="5D7E87CA"/>
    <w:rsid w:val="5E7D0C0E"/>
    <w:rsid w:val="5E87CACD"/>
    <w:rsid w:val="5EBD90D5"/>
    <w:rsid w:val="5FE5D440"/>
    <w:rsid w:val="5FF78BF4"/>
    <w:rsid w:val="60942517"/>
    <w:rsid w:val="61A87387"/>
    <w:rsid w:val="6233447A"/>
    <w:rsid w:val="63CD4613"/>
    <w:rsid w:val="67116CA9"/>
    <w:rsid w:val="67125035"/>
    <w:rsid w:val="67523279"/>
    <w:rsid w:val="676F1987"/>
    <w:rsid w:val="68FE6146"/>
    <w:rsid w:val="697F7F3A"/>
    <w:rsid w:val="6A8C537A"/>
    <w:rsid w:val="6B202B98"/>
    <w:rsid w:val="6B7FA34E"/>
    <w:rsid w:val="6CFD6BC4"/>
    <w:rsid w:val="6EB24BA1"/>
    <w:rsid w:val="6FCE8AF0"/>
    <w:rsid w:val="6FD54302"/>
    <w:rsid w:val="6FEA6982"/>
    <w:rsid w:val="6FEE9D95"/>
    <w:rsid w:val="73243235"/>
    <w:rsid w:val="73B34F28"/>
    <w:rsid w:val="75DB12C2"/>
    <w:rsid w:val="75FB4ECB"/>
    <w:rsid w:val="77050C09"/>
    <w:rsid w:val="77821AE6"/>
    <w:rsid w:val="77F7E412"/>
    <w:rsid w:val="78E47B24"/>
    <w:rsid w:val="79413E84"/>
    <w:rsid w:val="797E0682"/>
    <w:rsid w:val="79EFD029"/>
    <w:rsid w:val="7A104145"/>
    <w:rsid w:val="7B3F55EF"/>
    <w:rsid w:val="7B6E2884"/>
    <w:rsid w:val="7BF4070D"/>
    <w:rsid w:val="7C0641F8"/>
    <w:rsid w:val="7D7F7D6E"/>
    <w:rsid w:val="7DAF04B0"/>
    <w:rsid w:val="7DFD3FC4"/>
    <w:rsid w:val="7EB6EED6"/>
    <w:rsid w:val="7F3EC150"/>
    <w:rsid w:val="7F735B9B"/>
    <w:rsid w:val="7F8EEBC5"/>
    <w:rsid w:val="7FDBB26B"/>
    <w:rsid w:val="7FE940D8"/>
    <w:rsid w:val="7FF58E40"/>
    <w:rsid w:val="7FFCF919"/>
    <w:rsid w:val="7FFF80AB"/>
    <w:rsid w:val="7FFFAAB1"/>
    <w:rsid w:val="A3FFBDD9"/>
    <w:rsid w:val="ADFF5550"/>
    <w:rsid w:val="AE7F2395"/>
    <w:rsid w:val="AF764CFE"/>
    <w:rsid w:val="AFFF2AB6"/>
    <w:rsid w:val="BEDDEE6A"/>
    <w:rsid w:val="CF7E363F"/>
    <w:rsid w:val="D5FF5849"/>
    <w:rsid w:val="D7EE7838"/>
    <w:rsid w:val="DBAFE6ED"/>
    <w:rsid w:val="DD7F828A"/>
    <w:rsid w:val="DF3386BE"/>
    <w:rsid w:val="DFA5D2EE"/>
    <w:rsid w:val="DFAF28C3"/>
    <w:rsid w:val="E3FAF52D"/>
    <w:rsid w:val="EAFF031A"/>
    <w:rsid w:val="EBBF999C"/>
    <w:rsid w:val="EBF03A91"/>
    <w:rsid w:val="EED9F094"/>
    <w:rsid w:val="EF5F460A"/>
    <w:rsid w:val="EF9B40D4"/>
    <w:rsid w:val="EFFF8497"/>
    <w:rsid w:val="EFFFA301"/>
    <w:rsid w:val="F1F76CE8"/>
    <w:rsid w:val="F7B9F491"/>
    <w:rsid w:val="F7DFC73D"/>
    <w:rsid w:val="F7F5096B"/>
    <w:rsid w:val="F7FE602C"/>
    <w:rsid w:val="F7FFD8F9"/>
    <w:rsid w:val="F9FFBB70"/>
    <w:rsid w:val="FBFDD30E"/>
    <w:rsid w:val="FDDF1646"/>
    <w:rsid w:val="FEDFB311"/>
    <w:rsid w:val="FEF7E03D"/>
    <w:rsid w:val="FF1359B1"/>
    <w:rsid w:val="FF56F769"/>
    <w:rsid w:val="FF9D1035"/>
    <w:rsid w:val="FFBB956B"/>
    <w:rsid w:val="FFF39CE0"/>
    <w:rsid w:val="FFF9275C"/>
    <w:rsid w:val="FFFEC8C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jc w:val="center"/>
      <w:outlineLvl w:val="1"/>
    </w:pPr>
    <w:rPr>
      <w:rFonts w:ascii="宋体" w:hAnsi="宋体" w:eastAsia="宋体" w:cs="宋体"/>
      <w:sz w:val="44"/>
      <w:szCs w:val="44"/>
      <w:lang w:val="zh-CN" w:eastAsia="zh-CN" w:bidi="zh-CN"/>
    </w:rPr>
  </w:style>
  <w:style w:type="paragraph" w:styleId="3">
    <w:name w:val="heading 3"/>
    <w:basedOn w:val="1"/>
    <w:next w:val="1"/>
    <w:unhideWhenUsed/>
    <w:qFormat/>
    <w:uiPriority w:val="0"/>
    <w:pPr>
      <w:keepNext/>
      <w:keepLines/>
      <w:spacing w:before="120" w:after="120" w:line="360" w:lineRule="auto"/>
      <w:jc w:val="left"/>
      <w:outlineLvl w:val="2"/>
    </w:pPr>
    <w:rPr>
      <w:rFonts w:ascii="Times New Roman" w:hAnsi="Times New Roman" w:cs="Times New Roman"/>
      <w:b/>
      <w:bCs/>
      <w:sz w:val="30"/>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仿宋_GB2312" w:hAnsi="仿宋_GB2312" w:eastAsia="仿宋_GB2312" w:cs="仿宋_GB2312"/>
      <w:sz w:val="32"/>
      <w:szCs w:val="32"/>
      <w:lang w:val="zh-CN" w:eastAsia="zh-CN" w:bidi="zh-CN"/>
    </w:rPr>
  </w:style>
  <w:style w:type="paragraph" w:styleId="5">
    <w:name w:val="Body Text Indent"/>
    <w:basedOn w:val="1"/>
    <w:qFormat/>
    <w:uiPriority w:val="0"/>
    <w:pPr>
      <w:ind w:left="420" w:leftChars="200"/>
    </w:pPr>
  </w:style>
  <w:style w:type="paragraph" w:styleId="6">
    <w:name w:val="Plain Text"/>
    <w:basedOn w:val="1"/>
    <w:unhideWhenUsed/>
    <w:qFormat/>
    <w:uiPriority w:val="99"/>
    <w:rPr>
      <w:rFonts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39"/>
    <w:pPr>
      <w:spacing w:line="480" w:lineRule="auto"/>
    </w:pPr>
    <w:rPr>
      <w:rFonts w:asciiTheme="minorHAnsi" w:hAnsiTheme="minorHAnsi"/>
      <w:b/>
      <w:sz w:val="36"/>
    </w:rPr>
  </w:style>
  <w:style w:type="paragraph" w:styleId="10">
    <w:name w:val="toc 2"/>
    <w:basedOn w:val="1"/>
    <w:next w:val="1"/>
    <w:qFormat/>
    <w:uiPriority w:val="39"/>
    <w:pPr>
      <w:spacing w:line="320" w:lineRule="exact"/>
      <w:ind w:left="420" w:leftChars="200"/>
    </w:pPr>
    <w:rPr>
      <w:rFonts w:asciiTheme="minorHAnsi" w:hAnsiTheme="minorHAnsi"/>
      <w:sz w:val="24"/>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Title"/>
    <w:basedOn w:val="1"/>
    <w:qFormat/>
    <w:uiPriority w:val="0"/>
    <w:pPr>
      <w:spacing w:before="240" w:after="60"/>
      <w:jc w:val="center"/>
      <w:outlineLvl w:val="0"/>
    </w:pPr>
    <w:rPr>
      <w:rFonts w:ascii="Arial" w:hAnsi="Arial" w:cs="Arial"/>
      <w:b/>
      <w:bCs/>
      <w:sz w:val="32"/>
      <w:szCs w:val="32"/>
    </w:rPr>
  </w:style>
  <w:style w:type="paragraph" w:styleId="13">
    <w:name w:val="Body Text First Indent"/>
    <w:basedOn w:val="4"/>
    <w:semiHidden/>
    <w:unhideWhenUsed/>
    <w:qFormat/>
    <w:uiPriority w:val="99"/>
    <w:pPr>
      <w:spacing w:before="100" w:beforeAutospacing="1"/>
      <w:ind w:firstLine="420" w:firstLineChars="100"/>
    </w:pPr>
  </w:style>
  <w:style w:type="paragraph" w:styleId="14">
    <w:name w:val="Body Text First Indent 2"/>
    <w:basedOn w:val="5"/>
    <w:next w:val="1"/>
    <w:qFormat/>
    <w:uiPriority w:val="0"/>
    <w:pPr>
      <w:ind w:firstLine="420"/>
    </w:pPr>
  </w:style>
  <w:style w:type="character" w:styleId="17">
    <w:name w:val="Strong"/>
    <w:basedOn w:val="16"/>
    <w:qFormat/>
    <w:uiPriority w:val="0"/>
    <w:rPr>
      <w:b/>
    </w:rPr>
  </w:style>
  <w:style w:type="character" w:styleId="18">
    <w:name w:val="Hyperlink"/>
    <w:basedOn w:val="16"/>
    <w:unhideWhenUsed/>
    <w:qFormat/>
    <w:uiPriority w:val="99"/>
    <w:rPr>
      <w:color w:val="0563C1" w:themeColor="hyperlink"/>
      <w:u w:val="single"/>
      <w14:textFill>
        <w14:solidFill>
          <w14:schemeClr w14:val="hlink"/>
        </w14:solidFill>
      </w14:textFill>
    </w:rPr>
  </w:style>
  <w:style w:type="paragraph" w:customStyle="1" w:styleId="19">
    <w:name w:val="TOC Heading"/>
    <w:basedOn w:val="2"/>
    <w:next w:val="1"/>
    <w:unhideWhenUsed/>
    <w:qFormat/>
    <w:uiPriority w:val="39"/>
    <w:pPr>
      <w:widowControl/>
      <w:autoSpaceDE/>
      <w:autoSpaceDN/>
      <w:spacing w:before="240" w:line="259" w:lineRule="auto"/>
      <w:ind w:firstLine="0" w:firstLineChars="0"/>
      <w:outlineLvl w:val="9"/>
    </w:pPr>
    <w:rPr>
      <w:rFonts w:asciiTheme="majorHAnsi" w:hAnsiTheme="majorHAnsi" w:cstheme="majorBidi"/>
      <w:color w:val="2E75B6" w:themeColor="accent1" w:themeShade="BF"/>
      <w:kern w:val="0"/>
      <w:szCs w:val="32"/>
      <w:lang w:val="en-US" w:bidi="ar-SA"/>
    </w:rPr>
  </w:style>
  <w:style w:type="character" w:customStyle="1" w:styleId="20">
    <w:name w:val="font11"/>
    <w:basedOn w:val="16"/>
    <w:qFormat/>
    <w:uiPriority w:val="0"/>
    <w:rPr>
      <w:rFonts w:hint="eastAsia" w:ascii="宋体" w:hAnsi="宋体" w:eastAsia="宋体" w:cs="宋体"/>
      <w:color w:val="000000"/>
      <w:sz w:val="22"/>
      <w:szCs w:val="22"/>
      <w:u w:val="none"/>
    </w:rPr>
  </w:style>
  <w:style w:type="character" w:customStyle="1" w:styleId="21">
    <w:name w:val="font31"/>
    <w:basedOn w:val="16"/>
    <w:qFormat/>
    <w:uiPriority w:val="0"/>
    <w:rPr>
      <w:rFonts w:hint="default" w:ascii="Times New Roman" w:hAnsi="Times New Roman" w:cs="Times New Roman"/>
      <w:color w:val="000000"/>
      <w:sz w:val="22"/>
      <w:szCs w:val="22"/>
      <w:u w:val="none"/>
    </w:rPr>
  </w:style>
  <w:style w:type="paragraph" w:customStyle="1" w:styleId="22">
    <w:name w:val="WPSOffice手动目录 2"/>
    <w:qFormat/>
    <w:uiPriority w:val="0"/>
    <w:pPr>
      <w:ind w:leftChars="200"/>
    </w:pPr>
    <w:rPr>
      <w:rFonts w:ascii="Times New Roman" w:hAnsi="Times New Roman" w:eastAsia="宋体" w:cs="Times New Roman"/>
      <w:sz w:val="20"/>
      <w:szCs w:val="20"/>
    </w:rPr>
  </w:style>
  <w:style w:type="paragraph" w:customStyle="1" w:styleId="23">
    <w:name w:val="WPSOffice手动目录 1"/>
    <w:qFormat/>
    <w:uiPriority w:val="0"/>
    <w:pPr>
      <w:ind w:leftChars="0"/>
    </w:pPr>
    <w:rPr>
      <w:rFonts w:ascii="Times New Roman" w:hAnsi="Times New Roman" w:eastAsia="宋体" w:cs="Times New Roman"/>
      <w:sz w:val="20"/>
      <w:szCs w:val="20"/>
    </w:rPr>
  </w:style>
  <w:style w:type="paragraph" w:customStyle="1" w:styleId="24">
    <w:name w:val="正文文本缩进 31"/>
    <w:basedOn w:val="1"/>
    <w:qFormat/>
    <w:uiPriority w:val="0"/>
    <w:pPr>
      <w:ind w:left="420" w:leftChars="200"/>
    </w:pPr>
    <w:rPr>
      <w:rFonts w:ascii="Calibri" w:hAnsi="Calibri" w:eastAsia="仿宋"/>
      <w:sz w:val="16"/>
      <w:szCs w:val="16"/>
    </w:rPr>
  </w:style>
  <w:style w:type="paragraph" w:customStyle="1" w:styleId="25">
    <w:name w:val="Default"/>
    <w:unhideWhenUsed/>
    <w:qFormat/>
    <w:uiPriority w:val="99"/>
    <w:pPr>
      <w:widowControl w:val="0"/>
      <w:autoSpaceDE w:val="0"/>
      <w:autoSpaceDN w:val="0"/>
      <w:adjustRightInd w:val="0"/>
      <w:spacing w:beforeLines="0" w:afterLines="0"/>
    </w:pPr>
    <w:rPr>
      <w:rFonts w:hint="eastAsia" w:ascii="仿宋" w:hAnsi="仿宋" w:eastAsia="仿宋" w:cs="Times New Roman"/>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2581</Words>
  <Characters>2869</Characters>
  <Lines>1</Lines>
  <Paragraphs>1</Paragraphs>
  <TotalTime>19</TotalTime>
  <ScaleCrop>false</ScaleCrop>
  <LinksUpToDate>false</LinksUpToDate>
  <CharactersWithSpaces>3092</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2022-04-28T17:50:00Z</dcterms:created>
  <dc:creator>lucky</dc:creator>
  <cp:lastModifiedBy>kylin</cp:lastModifiedBy>
  <cp:lastPrinted>2025-03-10T18:20:00Z</cp:lastPrinted>
  <dcterms:modified xsi:type="dcterms:W3CDTF">2026-03-06T16:43:15Z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C69679B77ED4483BA4E56CAB3D449FD0_13</vt:lpwstr>
  </property>
  <property fmtid="{D5CDD505-2E9C-101B-9397-08002B2CF9AE}" pid="4" name="commondata">
    <vt:lpwstr>eyJoZGlkIjoiN2YzNjBkOTgyNWQ1YTMxYzM3MzMwNWFiODNmOWIzYWMifQ==</vt:lpwstr>
  </property>
  <property fmtid="{D5CDD505-2E9C-101B-9397-08002B2CF9AE}" pid="5" name="KSOTemplateDocerSaveRecord">
    <vt:lpwstr>eyJoZGlkIjoiMmNhNjBjODM2MWQyNTdmZWJjNjg1ODJiOTFjMWYzZTYiLCJ1c2VySWQiOiI2Mjg0NDkxMjcifQ==</vt:lpwstr>
  </property>
  <property fmtid="{D5CDD505-2E9C-101B-9397-08002B2CF9AE}" pid="6" name="woTemplateTypoMode" linkTarget="0">
    <vt:lpwstr>web</vt:lpwstr>
  </property>
  <property fmtid="{D5CDD505-2E9C-101B-9397-08002B2CF9AE}" pid="7" name="woTemplate" linkTarget="0">
    <vt:i4>1</vt:i4>
  </property>
</Properties>
</file>