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方正小标宋简体" w:hAnsi="宋体" w:eastAsia="方正小标宋简体" w:cs="Arial"/>
          <w:bCs/>
          <w:color w:val="000000"/>
          <w:sz w:val="44"/>
          <w:szCs w:val="44"/>
        </w:rPr>
      </w:pPr>
      <w:r>
        <w:rPr>
          <w:rFonts w:hint="eastAsia" w:ascii="方正小标宋简体" w:hAnsi="宋体" w:eastAsia="方正小标宋简体" w:cs="Arial"/>
          <w:bCs/>
          <w:color w:val="000000"/>
          <w:sz w:val="44"/>
          <w:szCs w:val="44"/>
          <w:lang w:val="en-US" w:eastAsia="zh-CN"/>
        </w:rPr>
        <w:t xml:space="preserve"> </w:t>
      </w:r>
      <w:r>
        <w:rPr>
          <w:rFonts w:hint="eastAsia" w:ascii="方正小标宋简体" w:hAnsi="宋体" w:eastAsia="方正小标宋简体" w:cs="Arial"/>
          <w:bCs/>
          <w:color w:val="000000"/>
          <w:sz w:val="44"/>
          <w:szCs w:val="44"/>
        </w:rPr>
        <w:t>项目支出</w:t>
      </w:r>
      <w:r>
        <w:rPr>
          <w:rFonts w:hint="eastAsia" w:ascii="方正小标宋简体" w:hAnsi="宋体" w:eastAsia="方正小标宋简体" w:cs="Arial"/>
          <w:bCs/>
          <w:color w:val="000000"/>
          <w:sz w:val="44"/>
          <w:szCs w:val="44"/>
          <w:lang w:eastAsia="zh-CN"/>
        </w:rPr>
        <w:t>部门</w:t>
      </w:r>
      <w:r>
        <w:rPr>
          <w:rFonts w:hint="eastAsia" w:ascii="方正小标宋简体" w:hAnsi="宋体" w:eastAsia="方正小标宋简体" w:cs="Arial"/>
          <w:bCs/>
          <w:color w:val="000000"/>
          <w:sz w:val="44"/>
          <w:szCs w:val="44"/>
        </w:rPr>
        <w:t>评价报告</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方正小标宋简体" w:hAnsi="宋体" w:eastAsia="方正小标宋简体" w:cs="Arial"/>
          <w:bCs/>
          <w:color w:val="000000"/>
          <w:sz w:val="44"/>
          <w:szCs w:val="44"/>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default" w:ascii="黑体" w:hAnsi="黑体" w:eastAsia="黑体" w:cs="黑体"/>
          <w:bCs/>
          <w:color w:val="000000"/>
          <w:sz w:val="32"/>
          <w:szCs w:val="32"/>
          <w:u w:val="single"/>
          <w:lang w:val="en-US"/>
        </w:rPr>
      </w:pPr>
      <w:r>
        <w:rPr>
          <w:rFonts w:hint="eastAsia" w:ascii="黑体" w:hAnsi="宋体" w:eastAsia="黑体" w:cs="Arial"/>
          <w:bCs/>
          <w:color w:val="000000"/>
          <w:sz w:val="32"/>
          <w:szCs w:val="32"/>
          <w:lang w:eastAsia="zh-CN"/>
        </w:rPr>
        <w:t>评价类型</w:t>
      </w:r>
      <w:r>
        <w:rPr>
          <w:rFonts w:hint="eastAsia" w:ascii="黑体" w:hAnsi="宋体" w:eastAsia="黑体" w:cs="Arial"/>
          <w:bCs/>
          <w:color w:val="000000"/>
          <w:sz w:val="32"/>
          <w:szCs w:val="32"/>
        </w:rPr>
        <w:t>：</w:t>
      </w:r>
      <w:r>
        <w:rPr>
          <w:rFonts w:hint="eastAsia" w:ascii="黑体" w:hAnsi="宋体" w:eastAsia="黑体" w:cs="Arial"/>
          <w:bCs/>
          <w:color w:val="000000"/>
          <w:sz w:val="32"/>
          <w:szCs w:val="32"/>
          <w:u w:val="single"/>
          <w:lang w:val="en-US" w:eastAsia="zh-CN"/>
        </w:rPr>
        <w:t xml:space="preserve">    </w:t>
      </w:r>
      <w:r>
        <w:rPr>
          <w:rFonts w:hint="eastAsia" w:ascii="黑体" w:hAnsi="黑体" w:eastAsia="黑体" w:cs="黑体"/>
          <w:bCs/>
          <w:color w:val="000000"/>
          <w:sz w:val="32"/>
          <w:szCs w:val="32"/>
          <w:u w:val="single"/>
        </w:rPr>
        <w:sym w:font="Wingdings 2" w:char="0052"/>
      </w:r>
      <w:r>
        <w:rPr>
          <w:rFonts w:hint="eastAsia" w:ascii="黑体" w:hAnsi="黑体" w:eastAsia="黑体" w:cs="黑体"/>
          <w:bCs/>
          <w:color w:val="000000"/>
          <w:sz w:val="32"/>
          <w:szCs w:val="32"/>
          <w:u w:val="single"/>
          <w:lang w:eastAsia="zh-CN"/>
        </w:rPr>
        <w:t>实施过程评价</w:t>
      </w:r>
      <w:r>
        <w:rPr>
          <w:rFonts w:hint="eastAsia" w:ascii="黑体" w:hAnsi="黑体" w:eastAsia="黑体" w:cs="黑体"/>
          <w:bCs/>
          <w:color w:val="000000"/>
          <w:sz w:val="32"/>
          <w:szCs w:val="32"/>
          <w:u w:val="single"/>
          <w:lang w:val="en-US" w:eastAsia="zh-CN"/>
        </w:rPr>
        <w:t xml:space="preserve">  </w:t>
      </w:r>
      <w:r>
        <w:rPr>
          <w:rFonts w:hint="eastAsia" w:ascii="黑体" w:hAnsi="黑体" w:eastAsia="黑体" w:cs="黑体"/>
          <w:bCs/>
          <w:color w:val="000000"/>
          <w:sz w:val="32"/>
          <w:szCs w:val="32"/>
          <w:u w:val="single"/>
        </w:rPr>
        <w:t xml:space="preserve">     </w:t>
      </w:r>
      <w:r>
        <w:rPr>
          <w:rFonts w:hint="eastAsia" w:ascii="黑体" w:hAnsi="黑体" w:eastAsia="黑体" w:cs="黑体"/>
          <w:bCs/>
          <w:color w:val="000000"/>
          <w:sz w:val="32"/>
          <w:szCs w:val="32"/>
          <w:u w:val="single"/>
        </w:rPr>
        <w:sym w:font="Wingdings 2" w:char="0052"/>
      </w:r>
      <w:r>
        <w:rPr>
          <w:rFonts w:hint="eastAsia" w:ascii="黑体" w:hAnsi="黑体" w:eastAsia="黑体" w:cs="黑体"/>
          <w:bCs/>
          <w:color w:val="000000"/>
          <w:sz w:val="32"/>
          <w:szCs w:val="32"/>
          <w:u w:val="single"/>
          <w:lang w:eastAsia="zh-CN"/>
        </w:rPr>
        <w:t>完成结果评价</w:t>
      </w:r>
      <w:r>
        <w:rPr>
          <w:rFonts w:hint="eastAsia" w:ascii="黑体" w:hAnsi="黑体" w:eastAsia="黑体" w:cs="黑体"/>
          <w:bCs/>
          <w:color w:val="0000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eastAsia" w:ascii="黑体" w:hAnsi="宋体" w:eastAsia="黑体" w:cs="Arial"/>
          <w:bCs/>
          <w:color w:val="000000"/>
          <w:sz w:val="32"/>
          <w:szCs w:val="32"/>
        </w:rPr>
      </w:pPr>
      <w:r>
        <w:rPr>
          <w:rFonts w:hint="eastAsia" w:ascii="黑体" w:hAnsi="宋体" w:eastAsia="黑体" w:cs="Arial"/>
          <w:bCs/>
          <w:color w:val="000000"/>
          <w:sz w:val="32"/>
          <w:szCs w:val="32"/>
        </w:rPr>
        <w:t>项目</w:t>
      </w:r>
      <w:r>
        <w:rPr>
          <w:rFonts w:hint="eastAsia" w:ascii="黑体" w:hAnsi="宋体" w:eastAsia="黑体" w:cs="Arial"/>
          <w:bCs/>
          <w:color w:val="000000"/>
          <w:sz w:val="32"/>
          <w:szCs w:val="32"/>
          <w:lang w:eastAsia="zh-CN"/>
        </w:rPr>
        <w:t>名称</w:t>
      </w:r>
      <w:r>
        <w:rPr>
          <w:rFonts w:hint="eastAsia" w:ascii="黑体" w:hAnsi="宋体" w:eastAsia="黑体" w:cs="Arial"/>
          <w:bCs/>
          <w:color w:val="000000"/>
          <w:sz w:val="32"/>
          <w:szCs w:val="32"/>
        </w:rPr>
        <w:t>：</w:t>
      </w:r>
      <w:r>
        <w:rPr>
          <w:rFonts w:hint="eastAsia" w:ascii="黑体" w:hAnsi="宋体" w:eastAsia="黑体" w:cs="Arial"/>
          <w:bCs/>
          <w:color w:val="000000"/>
          <w:sz w:val="32"/>
          <w:szCs w:val="32"/>
          <w:u w:val="single"/>
          <w:lang w:val="en-US" w:eastAsia="zh-CN"/>
        </w:rPr>
        <w:t xml:space="preserve">      市福利院服务对象生活区提升改造项目</w:t>
      </w:r>
      <w:r>
        <w:rPr>
          <w:rFonts w:hint="eastAsia" w:ascii="黑体" w:hAnsi="黑体" w:eastAsia="黑体" w:cs="黑体"/>
          <w:bCs/>
          <w:color w:val="000000"/>
          <w:sz w:val="32"/>
          <w:szCs w:val="32"/>
          <w:u w:val="single"/>
          <w:lang w:val="en-US" w:eastAsia="zh-CN"/>
        </w:rPr>
        <w:t xml:space="preserve">     </w:t>
      </w:r>
      <w:r>
        <w:rPr>
          <w:rFonts w:hint="eastAsia" w:ascii="黑体" w:hAnsi="黑体" w:eastAsia="黑体" w:cs="黑体"/>
          <w:bCs/>
          <w:color w:val="000000"/>
          <w:sz w:val="32"/>
          <w:szCs w:val="32"/>
          <w:u w:val="single"/>
        </w:rPr>
        <w:t xml:space="preserve">          </w:t>
      </w:r>
      <w:r>
        <w:rPr>
          <w:rFonts w:hint="eastAsia" w:ascii="黑体" w:hAnsi="黑体" w:eastAsia="黑体" w:cs="黑体"/>
          <w:bCs/>
          <w:color w:val="000000"/>
          <w:sz w:val="32"/>
          <w:szCs w:val="32"/>
          <w:u w:val="single"/>
          <w:lang w:val="en-US" w:eastAsia="zh-CN"/>
        </w:rPr>
        <w:t xml:space="preserve"> </w:t>
      </w:r>
      <w:r>
        <w:rPr>
          <w:rFonts w:hint="eastAsia" w:ascii="黑体" w:hAnsi="黑体" w:eastAsia="黑体" w:cs="黑体"/>
          <w:bCs/>
          <w:color w:val="000000"/>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default" w:ascii="黑体" w:hAnsi="黑体" w:eastAsia="黑体" w:cs="黑体"/>
          <w:bCs/>
          <w:color w:val="000000"/>
          <w:sz w:val="32"/>
          <w:szCs w:val="32"/>
          <w:u w:val="single"/>
          <w:lang w:val="en-US" w:eastAsia="zh-CN"/>
        </w:rPr>
      </w:pPr>
      <w:r>
        <w:rPr>
          <w:rFonts w:hint="eastAsia" w:ascii="黑体" w:hAnsi="宋体" w:eastAsia="黑体" w:cs="Arial"/>
          <w:bCs/>
          <w:color w:val="000000"/>
          <w:sz w:val="32"/>
          <w:szCs w:val="32"/>
          <w:lang w:eastAsia="zh-CN"/>
        </w:rPr>
        <w:t>项目</w:t>
      </w:r>
      <w:r>
        <w:rPr>
          <w:rFonts w:hint="eastAsia" w:ascii="黑体" w:hAnsi="宋体" w:eastAsia="黑体" w:cs="Arial"/>
          <w:bCs/>
          <w:color w:val="000000"/>
          <w:sz w:val="32"/>
          <w:szCs w:val="32"/>
        </w:rPr>
        <w:t>单位：</w:t>
      </w:r>
      <w:r>
        <w:rPr>
          <w:rFonts w:hint="eastAsia" w:ascii="黑体" w:hAnsi="宋体" w:eastAsia="黑体" w:cs="Arial"/>
          <w:bCs/>
          <w:color w:val="000000"/>
          <w:sz w:val="32"/>
          <w:szCs w:val="32"/>
          <w:u w:val="single"/>
          <w:lang w:val="en-US" w:eastAsia="zh-CN"/>
        </w:rPr>
        <w:t xml:space="preserve">           南昌市社会福利院</w:t>
      </w:r>
      <w:r>
        <w:rPr>
          <w:rFonts w:hint="eastAsia" w:ascii="黑体" w:hAnsi="黑体" w:eastAsia="黑体" w:cs="黑体"/>
          <w:bCs/>
          <w:color w:val="000000"/>
          <w:sz w:val="32"/>
          <w:szCs w:val="32"/>
          <w:u w:val="single"/>
          <w:lang w:val="en-US" w:eastAsia="zh-CN"/>
        </w:rPr>
        <w:t xml:space="preserve"> </w:t>
      </w:r>
      <w:r>
        <w:rPr>
          <w:rFonts w:hint="eastAsia" w:ascii="黑体" w:hAnsi="黑体" w:eastAsia="黑体" w:cs="黑体"/>
          <w:bCs/>
          <w:color w:val="000000"/>
          <w:sz w:val="32"/>
          <w:szCs w:val="32"/>
          <w:u w:val="single"/>
          <w:lang w:eastAsia="zh-CN"/>
        </w:rPr>
        <w:t xml:space="preserve"> </w:t>
      </w:r>
      <w:r>
        <w:rPr>
          <w:rFonts w:hint="eastAsia" w:ascii="黑体" w:hAnsi="黑体" w:eastAsia="黑体" w:cs="黑体"/>
          <w:bCs/>
          <w:color w:val="0000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eastAsia" w:ascii="黑体" w:hAnsi="黑体" w:eastAsia="黑体" w:cs="黑体"/>
          <w:bCs/>
          <w:color w:val="000000"/>
          <w:sz w:val="32"/>
          <w:szCs w:val="32"/>
          <w:u w:val="single"/>
          <w:lang w:eastAsia="zh-CN"/>
        </w:rPr>
      </w:pP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default" w:ascii="黑体" w:hAnsi="宋体" w:eastAsia="黑体" w:cs="Arial"/>
          <w:bCs/>
          <w:color w:val="000000"/>
          <w:sz w:val="32"/>
          <w:szCs w:val="32"/>
          <w:lang w:val="en-US" w:eastAsia="zh-CN"/>
        </w:rPr>
      </w:pPr>
      <w:r>
        <w:rPr>
          <w:rFonts w:hint="eastAsia" w:ascii="黑体" w:hAnsi="黑体" w:eastAsia="黑体" w:cs="黑体"/>
          <w:bCs/>
          <w:color w:val="000000"/>
          <w:sz w:val="32"/>
          <w:szCs w:val="32"/>
          <w:u w:val="none"/>
          <w:lang w:eastAsia="zh-CN"/>
        </w:rPr>
        <w:t>主管部门：</w:t>
      </w:r>
      <w:r>
        <w:rPr>
          <w:rFonts w:hint="eastAsia" w:ascii="黑体" w:hAnsi="黑体" w:eastAsia="黑体" w:cs="黑体"/>
          <w:bCs/>
          <w:color w:val="000000"/>
          <w:sz w:val="32"/>
          <w:szCs w:val="32"/>
          <w:u w:val="single"/>
          <w:lang w:val="en-US" w:eastAsia="zh-CN"/>
        </w:rPr>
        <w:t xml:space="preserve">          南昌市民政局</w:t>
      </w:r>
      <w:r>
        <w:rPr>
          <w:rFonts w:hint="eastAsia" w:ascii="黑体" w:hAnsi="黑体" w:eastAsia="黑体" w:cs="黑体"/>
          <w:bCs/>
          <w:color w:val="000000"/>
          <w:sz w:val="32"/>
          <w:szCs w:val="32"/>
          <w:u w:val="single"/>
          <w:lang w:eastAsia="zh-CN"/>
        </w:rPr>
        <w:t xml:space="preserve">  （盖章）</w:t>
      </w:r>
      <w:r>
        <w:rPr>
          <w:rFonts w:hint="eastAsia" w:ascii="黑体" w:hAnsi="黑体" w:eastAsia="黑体" w:cs="黑体"/>
          <w:bCs/>
          <w:color w:val="0000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default" w:ascii="黑体" w:hAnsi="宋体" w:eastAsia="黑体" w:cs="Arial"/>
          <w:bCs/>
          <w:color w:val="000000"/>
          <w:sz w:val="32"/>
          <w:szCs w:val="32"/>
          <w:lang w:val="en-US" w:eastAsia="zh-CN"/>
        </w:rPr>
      </w:pPr>
      <w:r>
        <w:rPr>
          <w:rFonts w:hint="eastAsia" w:ascii="黑体" w:hAnsi="宋体" w:eastAsia="黑体" w:cs="Arial"/>
          <w:bCs/>
          <w:color w:val="000000"/>
          <w:sz w:val="32"/>
          <w:szCs w:val="32"/>
        </w:rPr>
        <w:t>评价</w:t>
      </w:r>
      <w:r>
        <w:rPr>
          <w:rFonts w:hint="eastAsia" w:ascii="黑体" w:hAnsi="宋体" w:eastAsia="黑体" w:cs="Arial"/>
          <w:bCs/>
          <w:color w:val="000000"/>
          <w:sz w:val="32"/>
          <w:szCs w:val="32"/>
          <w:lang w:eastAsia="zh-CN"/>
        </w:rPr>
        <w:t>时间</w:t>
      </w:r>
      <w:r>
        <w:rPr>
          <w:rFonts w:hint="eastAsia" w:ascii="黑体" w:hAnsi="宋体" w:eastAsia="黑体" w:cs="Arial"/>
          <w:bCs/>
          <w:color w:val="000000"/>
          <w:sz w:val="32"/>
          <w:szCs w:val="32"/>
        </w:rPr>
        <w:t>：</w:t>
      </w:r>
      <w:r>
        <w:rPr>
          <w:rFonts w:hint="eastAsia" w:ascii="黑体" w:hAnsi="黑体" w:eastAsia="黑体" w:cs="黑体"/>
          <w:bCs/>
          <w:color w:val="000000"/>
          <w:sz w:val="32"/>
          <w:szCs w:val="32"/>
          <w:u w:val="single"/>
        </w:rPr>
        <w:t xml:space="preserve">  </w:t>
      </w:r>
      <w:r>
        <w:rPr>
          <w:rFonts w:hint="eastAsia" w:ascii="黑体" w:hAnsi="黑体" w:eastAsia="黑体" w:cs="黑体"/>
          <w:bCs/>
          <w:color w:val="000000"/>
          <w:sz w:val="32"/>
          <w:szCs w:val="32"/>
          <w:u w:val="single"/>
          <w:lang w:val="en-US" w:eastAsia="zh-CN"/>
        </w:rPr>
        <w:t xml:space="preserve"> 2025年1月1日 至 2025年 12 月 31 日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default" w:ascii="黑体" w:hAnsi="宋体" w:eastAsia="黑体" w:cs="Arial"/>
          <w:bCs/>
          <w:color w:val="000000"/>
          <w:sz w:val="32"/>
          <w:szCs w:val="32"/>
          <w:u w:val="single"/>
          <w:lang w:val="en-US"/>
        </w:rPr>
      </w:pPr>
      <w:r>
        <w:rPr>
          <w:rFonts w:hint="eastAsia" w:ascii="黑体" w:hAnsi="宋体" w:eastAsia="黑体" w:cs="Arial"/>
          <w:bCs/>
          <w:color w:val="000000"/>
          <w:sz w:val="32"/>
          <w:szCs w:val="32"/>
          <w:lang w:eastAsia="zh-CN"/>
        </w:rPr>
        <w:t>评价机构</w:t>
      </w:r>
      <w:r>
        <w:rPr>
          <w:rFonts w:hint="eastAsia" w:ascii="黑体" w:hAnsi="宋体" w:eastAsia="黑体" w:cs="Arial"/>
          <w:bCs/>
          <w:color w:val="000000"/>
          <w:sz w:val="32"/>
          <w:szCs w:val="32"/>
        </w:rPr>
        <w:t>：</w:t>
      </w:r>
      <w:r>
        <w:rPr>
          <w:rFonts w:hint="eastAsia" w:ascii="黑体" w:hAnsi="宋体" w:eastAsia="黑体" w:cs="Arial"/>
          <w:bCs/>
          <w:color w:val="000000"/>
          <w:sz w:val="32"/>
          <w:szCs w:val="32"/>
          <w:u w:val="single"/>
          <w:lang w:val="en-US" w:eastAsia="zh-CN"/>
        </w:rPr>
        <w:t xml:space="preserve"> </w:t>
      </w:r>
      <w:r>
        <w:rPr>
          <w:rFonts w:hint="eastAsia" w:ascii="黑体" w:hAnsi="黑体" w:eastAsia="黑体" w:cs="黑体"/>
          <w:bCs/>
          <w:color w:val="000000"/>
          <w:sz w:val="32"/>
          <w:szCs w:val="32"/>
          <w:u w:val="single"/>
        </w:rPr>
        <w:sym w:font="Wingdings 2" w:char="00A3"/>
      </w:r>
      <w:r>
        <w:rPr>
          <w:rFonts w:hint="eastAsia" w:ascii="黑体" w:hAnsi="黑体" w:eastAsia="黑体" w:cs="黑体"/>
          <w:bCs/>
          <w:color w:val="000000"/>
          <w:sz w:val="32"/>
          <w:szCs w:val="32"/>
          <w:u w:val="single"/>
          <w:lang w:eastAsia="zh-CN"/>
        </w:rPr>
        <w:t>第三方机构</w:t>
      </w:r>
      <w:r>
        <w:rPr>
          <w:rFonts w:hint="eastAsia" w:ascii="黑体" w:hAnsi="黑体" w:eastAsia="黑体" w:cs="黑体"/>
          <w:bCs/>
          <w:color w:val="000000"/>
          <w:sz w:val="32"/>
          <w:szCs w:val="32"/>
          <w:u w:val="single"/>
        </w:rPr>
        <w:t xml:space="preserve">    </w:t>
      </w:r>
      <w:r>
        <w:rPr>
          <w:rFonts w:hint="eastAsia" w:ascii="黑体" w:hAnsi="黑体" w:eastAsia="黑体" w:cs="黑体"/>
          <w:bCs/>
          <w:color w:val="000000"/>
          <w:sz w:val="32"/>
          <w:szCs w:val="32"/>
          <w:u w:val="single"/>
        </w:rPr>
        <w:sym w:font="Wingdings 2" w:char="00A3"/>
      </w:r>
      <w:r>
        <w:rPr>
          <w:rFonts w:hint="eastAsia" w:ascii="黑体" w:hAnsi="黑体" w:eastAsia="黑体" w:cs="黑体"/>
          <w:bCs/>
          <w:color w:val="000000"/>
          <w:sz w:val="32"/>
          <w:szCs w:val="32"/>
          <w:u w:val="single"/>
          <w:lang w:eastAsia="zh-CN"/>
        </w:rPr>
        <w:t>专家组</w:t>
      </w:r>
      <w:r>
        <w:rPr>
          <w:rFonts w:hint="eastAsia" w:ascii="黑体" w:hAnsi="黑体" w:eastAsia="黑体" w:cs="黑体"/>
          <w:bCs/>
          <w:color w:val="000000"/>
          <w:sz w:val="32"/>
          <w:szCs w:val="32"/>
          <w:u w:val="single"/>
        </w:rPr>
        <w:t xml:space="preserve">    </w:t>
      </w:r>
      <w:r>
        <w:rPr>
          <w:rFonts w:hint="eastAsia" w:ascii="黑体" w:hAnsi="黑体" w:eastAsia="黑体" w:cs="黑体"/>
          <w:bCs/>
          <w:color w:val="000000"/>
          <w:sz w:val="32"/>
          <w:szCs w:val="32"/>
          <w:u w:val="single"/>
        </w:rPr>
        <w:sym w:font="Wingdings 2" w:char="0052"/>
      </w:r>
      <w:r>
        <w:rPr>
          <w:rFonts w:hint="eastAsia" w:ascii="黑体" w:hAnsi="黑体" w:eastAsia="黑体" w:cs="黑体"/>
          <w:bCs/>
          <w:color w:val="000000"/>
          <w:sz w:val="32"/>
          <w:szCs w:val="32"/>
          <w:u w:val="single"/>
          <w:lang w:eastAsia="zh-CN"/>
        </w:rPr>
        <w:t>部门评价组</w:t>
      </w:r>
      <w:r>
        <w:rPr>
          <w:rFonts w:hint="eastAsia" w:ascii="黑体" w:hAnsi="黑体" w:eastAsia="黑体" w:cs="黑体"/>
          <w:bCs/>
          <w:color w:val="0000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黑体" w:hAnsi="宋体" w:eastAsia="黑体" w:cs="Arial"/>
          <w:bCs/>
          <w:color w:val="000000"/>
          <w:sz w:val="32"/>
          <w:szCs w:val="32"/>
          <w:lang w:val="en-US" w:eastAsia="zh-CN"/>
        </w:rPr>
      </w:pPr>
      <w:r>
        <w:rPr>
          <w:rFonts w:hint="eastAsia" w:ascii="黑体" w:hAnsi="宋体" w:eastAsia="黑体" w:cs="Arial"/>
          <w:bCs/>
          <w:color w:val="000000"/>
          <w:sz w:val="32"/>
          <w:szCs w:val="32"/>
          <w:lang w:val="en-US" w:eastAsia="zh-CN"/>
        </w:rPr>
        <w:t>2026</w:t>
      </w:r>
      <w:r>
        <w:rPr>
          <w:rFonts w:hint="eastAsia" w:ascii="黑体" w:hAnsi="宋体" w:eastAsia="黑体" w:cs="Arial"/>
          <w:bCs/>
          <w:color w:val="000000"/>
          <w:sz w:val="32"/>
          <w:szCs w:val="32"/>
        </w:rPr>
        <w:t>年</w:t>
      </w:r>
      <w:r>
        <w:rPr>
          <w:rFonts w:hint="eastAsia" w:ascii="黑体" w:hAnsi="宋体" w:eastAsia="黑体" w:cs="Arial"/>
          <w:bCs/>
          <w:color w:val="000000"/>
          <w:sz w:val="32"/>
          <w:szCs w:val="32"/>
          <w:lang w:val="en-US" w:eastAsia="zh-CN"/>
        </w:rPr>
        <w:t>3</w:t>
      </w:r>
      <w:r>
        <w:rPr>
          <w:rFonts w:hint="eastAsia" w:ascii="黑体" w:hAnsi="宋体" w:eastAsia="黑体" w:cs="Arial"/>
          <w:bCs/>
          <w:color w:val="000000"/>
          <w:sz w:val="32"/>
          <w:szCs w:val="32"/>
        </w:rPr>
        <w:t>月</w:t>
      </w:r>
      <w:r>
        <w:rPr>
          <w:rFonts w:hint="eastAsia" w:ascii="黑体" w:hAnsi="宋体" w:eastAsia="黑体" w:cs="Arial"/>
          <w:bCs/>
          <w:color w:val="000000"/>
          <w:sz w:val="32"/>
          <w:szCs w:val="32"/>
          <w:lang w:val="en-US" w:eastAsia="zh-CN"/>
        </w:rPr>
        <w:t>2日</w:t>
      </w:r>
    </w:p>
    <w:p>
      <w:pPr>
        <w:spacing w:line="360" w:lineRule="auto"/>
        <w:jc w:val="center"/>
        <w:rPr>
          <w:rFonts w:hint="eastAsia" w:ascii="黑体" w:hAnsi="宋体" w:eastAsia="黑体" w:cs="Arial"/>
          <w:bCs/>
          <w:color w:val="000000"/>
          <w:sz w:val="32"/>
          <w:szCs w:val="32"/>
        </w:rPr>
      </w:pPr>
    </w:p>
    <w:p>
      <w:pPr>
        <w:pStyle w:val="5"/>
        <w:spacing w:line="360" w:lineRule="auto"/>
        <w:rPr>
          <w:rFonts w:hint="eastAsia" w:ascii="黑体" w:hAnsi="宋体" w:eastAsia="黑体" w:cs="Arial"/>
          <w:bCs/>
          <w:color w:val="000000"/>
          <w:sz w:val="32"/>
          <w:szCs w:val="32"/>
        </w:rPr>
      </w:pPr>
    </w:p>
    <w:sdt>
      <w:sdtPr>
        <w:rPr>
          <w:rFonts w:ascii="宋体" w:hAnsi="宋体" w:eastAsia="宋体" w:cs="Times New Roman"/>
          <w:kern w:val="2"/>
          <w:sz w:val="21"/>
          <w:lang w:val="en-US" w:eastAsia="zh-CN" w:bidi="ar-SA"/>
        </w:rPr>
        <w:id w:val="147451480"/>
        <w15:color w:val="DBDBDB"/>
        <w:docPartObj>
          <w:docPartGallery w:val="Table of Contents"/>
          <w:docPartUnique/>
        </w:docPartObj>
      </w:sdtPr>
      <w:sdtEndPr>
        <w:rPr>
          <w:rFonts w:hint="eastAsia" w:ascii="黑体" w:hAnsi="宋体" w:eastAsia="黑体" w:cs="Arial"/>
          <w:b/>
          <w:bCs/>
          <w:color w:val="000000"/>
          <w:kern w:val="2"/>
          <w:sz w:val="32"/>
          <w:szCs w:val="32"/>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44"/>
              <w:szCs w:val="40"/>
            </w:rPr>
          </w:pPr>
          <w:r>
            <w:rPr>
              <w:rFonts w:hint="eastAsia" w:ascii="黑体" w:hAnsi="黑体" w:eastAsia="黑体" w:cs="黑体"/>
              <w:sz w:val="44"/>
              <w:szCs w:val="40"/>
            </w:rPr>
            <w:t>目</w:t>
          </w:r>
          <w:r>
            <w:rPr>
              <w:rFonts w:hint="eastAsia" w:ascii="黑体" w:hAnsi="黑体" w:eastAsia="黑体" w:cs="黑体"/>
              <w:sz w:val="44"/>
              <w:szCs w:val="40"/>
              <w:lang w:val="en-US" w:eastAsia="zh-CN"/>
            </w:rPr>
            <w:t xml:space="preserve">  </w:t>
          </w:r>
          <w:r>
            <w:rPr>
              <w:rFonts w:hint="eastAsia" w:ascii="黑体" w:hAnsi="黑体" w:eastAsia="黑体" w:cs="黑体"/>
              <w:sz w:val="44"/>
              <w:szCs w:val="40"/>
            </w:rPr>
            <w:t>录</w:t>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color w:val="000000"/>
              <w:sz w:val="32"/>
              <w:szCs w:val="32"/>
            </w:rPr>
            <w:instrText xml:space="preserve">TOC \o "1-2" \h \u </w:instrText>
          </w:r>
          <w:r>
            <w:rPr>
              <w:rFonts w:hint="eastAsia" w:ascii="黑体" w:hAnsi="宋体" w:eastAsia="黑体" w:cs="Arial"/>
              <w:bCs/>
              <w:color w:val="000000"/>
              <w:sz w:val="32"/>
              <w:szCs w:val="32"/>
            </w:rPr>
            <w:fldChar w:fldCharType="separate"/>
          </w: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_Toc1458 </w:instrText>
          </w:r>
          <w:r>
            <w:rPr>
              <w:rFonts w:hint="eastAsia" w:ascii="黑体" w:hAnsi="宋体" w:eastAsia="黑体" w:cs="Arial"/>
              <w:bCs/>
              <w:sz w:val="32"/>
              <w:szCs w:val="32"/>
            </w:rPr>
            <w:fldChar w:fldCharType="separate"/>
          </w:r>
          <w:r>
            <w:rPr>
              <w:rFonts w:hint="eastAsia" w:ascii="黑体" w:hAnsi="黑体" w:eastAsia="黑体"/>
              <w:sz w:val="32"/>
              <w:szCs w:val="32"/>
              <w:lang w:val="en-US" w:eastAsia="zh-CN"/>
            </w:rPr>
            <w:t>一、基本情况</w:t>
          </w:r>
          <w:r>
            <w:rPr>
              <w:sz w:val="32"/>
              <w:szCs w:val="32"/>
            </w:rPr>
            <w:tab/>
          </w:r>
          <w:r>
            <w:rPr>
              <w:sz w:val="32"/>
              <w:szCs w:val="32"/>
            </w:rPr>
            <w:fldChar w:fldCharType="begin"/>
          </w:r>
          <w:r>
            <w:rPr>
              <w:sz w:val="32"/>
              <w:szCs w:val="32"/>
            </w:rPr>
            <w:instrText xml:space="preserve"> PAGEREF _Toc1458 \h </w:instrText>
          </w:r>
          <w:r>
            <w:rPr>
              <w:sz w:val="32"/>
              <w:szCs w:val="32"/>
            </w:rPr>
            <w:fldChar w:fldCharType="separate"/>
          </w:r>
          <w:r>
            <w:rPr>
              <w:sz w:val="32"/>
              <w:szCs w:val="32"/>
            </w:rPr>
            <w:t>1</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_Toc28642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（一）项目概况</w:t>
          </w:r>
          <w:r>
            <w:rPr>
              <w:sz w:val="32"/>
              <w:szCs w:val="32"/>
            </w:rPr>
            <w:tab/>
          </w:r>
          <w:r>
            <w:rPr>
              <w:sz w:val="32"/>
              <w:szCs w:val="32"/>
            </w:rPr>
            <w:fldChar w:fldCharType="begin"/>
          </w:r>
          <w:r>
            <w:rPr>
              <w:sz w:val="32"/>
              <w:szCs w:val="32"/>
            </w:rPr>
            <w:instrText xml:space="preserve"> PAGEREF _Toc28642 \h </w:instrText>
          </w:r>
          <w:r>
            <w:rPr>
              <w:sz w:val="32"/>
              <w:szCs w:val="32"/>
            </w:rPr>
            <w:fldChar w:fldCharType="separate"/>
          </w:r>
          <w:r>
            <w:rPr>
              <w:sz w:val="32"/>
              <w:szCs w:val="32"/>
            </w:rPr>
            <w:t>1</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_Toc13976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（二）项目绩效目标</w:t>
          </w:r>
          <w:r>
            <w:rPr>
              <w:sz w:val="32"/>
              <w:szCs w:val="32"/>
            </w:rPr>
            <w:tab/>
          </w:r>
          <w:r>
            <w:rPr>
              <w:sz w:val="32"/>
              <w:szCs w:val="32"/>
            </w:rPr>
            <w:fldChar w:fldCharType="begin"/>
          </w:r>
          <w:r>
            <w:rPr>
              <w:sz w:val="32"/>
              <w:szCs w:val="32"/>
            </w:rPr>
            <w:instrText xml:space="preserve"> PAGEREF _Toc13976 \h </w:instrText>
          </w:r>
          <w:r>
            <w:rPr>
              <w:sz w:val="32"/>
              <w:szCs w:val="32"/>
            </w:rPr>
            <w:fldChar w:fldCharType="separate"/>
          </w:r>
          <w:r>
            <w:rPr>
              <w:sz w:val="32"/>
              <w:szCs w:val="32"/>
            </w:rPr>
            <w:t>4</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_Toc5206 </w:instrText>
          </w:r>
          <w:r>
            <w:rPr>
              <w:rFonts w:hint="eastAsia" w:ascii="黑体" w:hAnsi="宋体" w:eastAsia="黑体" w:cs="Arial"/>
              <w:bCs/>
              <w:sz w:val="32"/>
              <w:szCs w:val="32"/>
            </w:rPr>
            <w:fldChar w:fldCharType="separate"/>
          </w:r>
          <w:r>
            <w:rPr>
              <w:rFonts w:hint="eastAsia" w:ascii="黑体" w:hAnsi="黑体" w:eastAsia="黑体"/>
              <w:sz w:val="32"/>
              <w:szCs w:val="32"/>
              <w:lang w:val="en-US" w:eastAsia="zh-CN"/>
            </w:rPr>
            <w:t>二、绩效评价工作开展情况</w:t>
          </w:r>
          <w:r>
            <w:rPr>
              <w:sz w:val="32"/>
              <w:szCs w:val="32"/>
            </w:rPr>
            <w:tab/>
          </w:r>
          <w:r>
            <w:rPr>
              <w:sz w:val="32"/>
              <w:szCs w:val="32"/>
            </w:rPr>
            <w:fldChar w:fldCharType="begin"/>
          </w:r>
          <w:r>
            <w:rPr>
              <w:sz w:val="32"/>
              <w:szCs w:val="32"/>
            </w:rPr>
            <w:instrText xml:space="preserve"> PAGEREF _Toc5206 \h </w:instrText>
          </w:r>
          <w:r>
            <w:rPr>
              <w:sz w:val="32"/>
              <w:szCs w:val="32"/>
            </w:rPr>
            <w:fldChar w:fldCharType="separate"/>
          </w:r>
          <w:r>
            <w:rPr>
              <w:sz w:val="32"/>
              <w:szCs w:val="32"/>
            </w:rPr>
            <w:t>4</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_Toc24679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（一）绩效评价目的、对象和范围</w:t>
          </w:r>
          <w:r>
            <w:rPr>
              <w:sz w:val="32"/>
              <w:szCs w:val="32"/>
            </w:rPr>
            <w:tab/>
          </w:r>
          <w:r>
            <w:rPr>
              <w:sz w:val="32"/>
              <w:szCs w:val="32"/>
            </w:rPr>
            <w:fldChar w:fldCharType="begin"/>
          </w:r>
          <w:r>
            <w:rPr>
              <w:sz w:val="32"/>
              <w:szCs w:val="32"/>
            </w:rPr>
            <w:instrText xml:space="preserve"> PAGEREF _Toc24679 \h </w:instrText>
          </w:r>
          <w:r>
            <w:rPr>
              <w:sz w:val="32"/>
              <w:szCs w:val="32"/>
            </w:rPr>
            <w:fldChar w:fldCharType="separate"/>
          </w:r>
          <w:r>
            <w:rPr>
              <w:sz w:val="32"/>
              <w:szCs w:val="32"/>
            </w:rPr>
            <w:t>5</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_Toc7047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（二）绩效评价原则、评价指标体系（附表说明）、评价方法、评价标准等</w:t>
          </w:r>
          <w:r>
            <w:rPr>
              <w:sz w:val="32"/>
              <w:szCs w:val="32"/>
            </w:rPr>
            <w:tab/>
          </w:r>
          <w:r>
            <w:rPr>
              <w:sz w:val="32"/>
              <w:szCs w:val="32"/>
            </w:rPr>
            <w:fldChar w:fldCharType="begin"/>
          </w:r>
          <w:r>
            <w:rPr>
              <w:sz w:val="32"/>
              <w:szCs w:val="32"/>
            </w:rPr>
            <w:instrText xml:space="preserve"> PAGEREF _Toc7047 \h </w:instrText>
          </w:r>
          <w:r>
            <w:rPr>
              <w:sz w:val="32"/>
              <w:szCs w:val="32"/>
            </w:rPr>
            <w:fldChar w:fldCharType="separate"/>
          </w:r>
          <w:r>
            <w:rPr>
              <w:sz w:val="32"/>
              <w:szCs w:val="32"/>
            </w:rPr>
            <w:t>5</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_Toc24225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（三）绩效评价工作过程</w:t>
          </w:r>
          <w:r>
            <w:rPr>
              <w:sz w:val="32"/>
              <w:szCs w:val="32"/>
            </w:rPr>
            <w:tab/>
          </w:r>
          <w:r>
            <w:rPr>
              <w:sz w:val="32"/>
              <w:szCs w:val="32"/>
            </w:rPr>
            <w:fldChar w:fldCharType="begin"/>
          </w:r>
          <w:r>
            <w:rPr>
              <w:sz w:val="32"/>
              <w:szCs w:val="32"/>
            </w:rPr>
            <w:instrText xml:space="preserve"> PAGEREF _Toc24225 \h </w:instrText>
          </w:r>
          <w:r>
            <w:rPr>
              <w:sz w:val="32"/>
              <w:szCs w:val="32"/>
            </w:rPr>
            <w:fldChar w:fldCharType="separate"/>
          </w:r>
          <w:r>
            <w:rPr>
              <w:sz w:val="32"/>
              <w:szCs w:val="32"/>
            </w:rPr>
            <w:t>6</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_Toc148 </w:instrText>
          </w:r>
          <w:r>
            <w:rPr>
              <w:rFonts w:hint="eastAsia" w:ascii="黑体" w:hAnsi="宋体" w:eastAsia="黑体" w:cs="Arial"/>
              <w:bCs/>
              <w:sz w:val="32"/>
              <w:szCs w:val="32"/>
            </w:rPr>
            <w:fldChar w:fldCharType="separate"/>
          </w:r>
          <w:r>
            <w:rPr>
              <w:rFonts w:hint="eastAsia" w:ascii="黑体" w:hAnsi="黑体" w:eastAsia="黑体"/>
              <w:sz w:val="32"/>
              <w:szCs w:val="32"/>
              <w:lang w:val="en-US" w:eastAsia="zh-CN"/>
            </w:rPr>
            <w:t>三、</w:t>
          </w:r>
          <w:r>
            <w:rPr>
              <w:rFonts w:hint="eastAsia" w:ascii="黑体" w:hAnsi="黑体" w:eastAsia="黑体"/>
              <w:sz w:val="32"/>
              <w:szCs w:val="32"/>
            </w:rPr>
            <w:t>综合评价情况及评价结论</w:t>
          </w:r>
          <w:r>
            <w:rPr>
              <w:sz w:val="32"/>
              <w:szCs w:val="32"/>
            </w:rPr>
            <w:tab/>
          </w:r>
          <w:r>
            <w:rPr>
              <w:sz w:val="32"/>
              <w:szCs w:val="32"/>
            </w:rPr>
            <w:fldChar w:fldCharType="begin"/>
          </w:r>
          <w:r>
            <w:rPr>
              <w:sz w:val="32"/>
              <w:szCs w:val="32"/>
            </w:rPr>
            <w:instrText xml:space="preserve"> PAGEREF _Toc148 \h </w:instrText>
          </w:r>
          <w:r>
            <w:rPr>
              <w:sz w:val="32"/>
              <w:szCs w:val="32"/>
            </w:rPr>
            <w:fldChar w:fldCharType="separate"/>
          </w:r>
          <w:r>
            <w:rPr>
              <w:sz w:val="32"/>
              <w:szCs w:val="32"/>
            </w:rPr>
            <w:t>7</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rFonts w:hint="eastAsia" w:eastAsia="黑体"/>
              <w:sz w:val="32"/>
              <w:szCs w:val="32"/>
              <w:lang w:val="en-US" w:eastAsia="zh-CN"/>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_Toc16105 </w:instrText>
          </w:r>
          <w:r>
            <w:rPr>
              <w:rFonts w:hint="eastAsia" w:ascii="黑体" w:hAnsi="宋体" w:eastAsia="黑体" w:cs="Arial"/>
              <w:bCs/>
              <w:sz w:val="32"/>
              <w:szCs w:val="32"/>
            </w:rPr>
            <w:fldChar w:fldCharType="separate"/>
          </w:r>
          <w:r>
            <w:rPr>
              <w:rFonts w:hint="eastAsia" w:ascii="黑体" w:hAnsi="黑体" w:eastAsia="黑体"/>
              <w:sz w:val="32"/>
              <w:szCs w:val="32"/>
            </w:rPr>
            <w:t>四、绩效评价指标分析</w:t>
          </w:r>
          <w:r>
            <w:rPr>
              <w:sz w:val="32"/>
              <w:szCs w:val="32"/>
            </w:rPr>
            <w:tab/>
          </w:r>
          <w:r>
            <w:rPr>
              <w:rFonts w:hint="eastAsia"/>
              <w:sz w:val="32"/>
              <w:szCs w:val="32"/>
              <w:lang w:val="en-US" w:eastAsia="zh-CN"/>
            </w:rPr>
            <w:t>1</w:t>
          </w:r>
          <w:r>
            <w:rPr>
              <w:rFonts w:hint="eastAsia" w:ascii="黑体" w:hAnsi="宋体" w:eastAsia="黑体" w:cs="Arial"/>
              <w:bCs/>
              <w:color w:val="000000"/>
              <w:sz w:val="32"/>
              <w:szCs w:val="32"/>
            </w:rPr>
            <w:fldChar w:fldCharType="end"/>
          </w:r>
          <w:r>
            <w:rPr>
              <w:rFonts w:hint="eastAsia" w:ascii="黑体" w:hAnsi="宋体" w:eastAsia="黑体" w:cs="Arial"/>
              <w:bCs/>
              <w:color w:val="000000"/>
              <w:sz w:val="32"/>
              <w:szCs w:val="32"/>
              <w:lang w:val="en-US" w:eastAsia="zh-CN"/>
            </w:rPr>
            <w:t>1</w:t>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_Toc9615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（一）项目决策情况</w:t>
          </w:r>
          <w:r>
            <w:rPr>
              <w:sz w:val="32"/>
              <w:szCs w:val="32"/>
            </w:rPr>
            <w:tab/>
          </w:r>
          <w:r>
            <w:rPr>
              <w:sz w:val="32"/>
              <w:szCs w:val="32"/>
            </w:rPr>
            <w:fldChar w:fldCharType="begin"/>
          </w:r>
          <w:r>
            <w:rPr>
              <w:sz w:val="32"/>
              <w:szCs w:val="32"/>
            </w:rPr>
            <w:instrText xml:space="preserve"> PAGEREF _Toc9615 \h </w:instrText>
          </w:r>
          <w:r>
            <w:rPr>
              <w:sz w:val="32"/>
              <w:szCs w:val="32"/>
            </w:rPr>
            <w:fldChar w:fldCharType="separate"/>
          </w:r>
          <w:r>
            <w:rPr>
              <w:sz w:val="32"/>
              <w:szCs w:val="32"/>
            </w:rPr>
            <w:t>7</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_Toc8730 </w:instrText>
          </w:r>
          <w:r>
            <w:rPr>
              <w:rFonts w:hint="eastAsia" w:ascii="黑体" w:hAnsi="宋体" w:eastAsia="黑体" w:cs="Arial"/>
              <w:bCs/>
              <w:sz w:val="32"/>
              <w:szCs w:val="32"/>
            </w:rPr>
            <w:fldChar w:fldCharType="separate"/>
          </w:r>
          <w:r>
            <w:rPr>
              <w:rFonts w:hint="eastAsia" w:ascii="楷体_GB2312" w:hAnsi="楷体_GB2312" w:eastAsia="楷体_GB2312" w:cs="楷体_GB2312"/>
              <w:sz w:val="32"/>
              <w:szCs w:val="32"/>
            </w:rPr>
            <w:t>（二）项目过程情况</w:t>
          </w:r>
          <w:r>
            <w:rPr>
              <w:sz w:val="32"/>
              <w:szCs w:val="32"/>
            </w:rPr>
            <w:tab/>
          </w:r>
          <w:r>
            <w:rPr>
              <w:sz w:val="32"/>
              <w:szCs w:val="32"/>
            </w:rPr>
            <w:fldChar w:fldCharType="begin"/>
          </w:r>
          <w:r>
            <w:rPr>
              <w:sz w:val="32"/>
              <w:szCs w:val="32"/>
            </w:rPr>
            <w:instrText xml:space="preserve"> PAGEREF _Toc8730 \h </w:instrText>
          </w:r>
          <w:r>
            <w:rPr>
              <w:sz w:val="32"/>
              <w:szCs w:val="32"/>
            </w:rPr>
            <w:fldChar w:fldCharType="separate"/>
          </w:r>
          <w:r>
            <w:rPr>
              <w:sz w:val="32"/>
              <w:szCs w:val="32"/>
            </w:rPr>
            <w:t>10</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_Toc6836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（三）项目产出情况</w:t>
          </w:r>
          <w:r>
            <w:rPr>
              <w:sz w:val="32"/>
              <w:szCs w:val="32"/>
            </w:rPr>
            <w:tab/>
          </w:r>
          <w:r>
            <w:rPr>
              <w:sz w:val="32"/>
              <w:szCs w:val="32"/>
            </w:rPr>
            <w:fldChar w:fldCharType="begin"/>
          </w:r>
          <w:r>
            <w:rPr>
              <w:sz w:val="32"/>
              <w:szCs w:val="32"/>
            </w:rPr>
            <w:instrText xml:space="preserve"> PAGEREF _Toc6836 \h </w:instrText>
          </w:r>
          <w:r>
            <w:rPr>
              <w:sz w:val="32"/>
              <w:szCs w:val="32"/>
            </w:rPr>
            <w:fldChar w:fldCharType="separate"/>
          </w:r>
          <w:r>
            <w:rPr>
              <w:sz w:val="32"/>
              <w:szCs w:val="32"/>
            </w:rPr>
            <w:t>11</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_Toc10019 </w:instrText>
          </w:r>
          <w:r>
            <w:rPr>
              <w:rFonts w:hint="eastAsia" w:ascii="黑体" w:hAnsi="宋体" w:eastAsia="黑体" w:cs="Arial"/>
              <w:bCs/>
              <w:sz w:val="32"/>
              <w:szCs w:val="32"/>
            </w:rPr>
            <w:fldChar w:fldCharType="separate"/>
          </w:r>
          <w:r>
            <w:rPr>
              <w:rFonts w:hint="eastAsia" w:ascii="黑体" w:hAnsi="黑体" w:eastAsia="黑体" w:cs="黑体"/>
              <w:bCs/>
              <w:kern w:val="2"/>
              <w:sz w:val="32"/>
              <w:szCs w:val="32"/>
              <w:lang w:val="en-US" w:eastAsia="zh-CN" w:bidi="ar-SA"/>
            </w:rPr>
            <w:t>（</w:t>
          </w:r>
          <w:r>
            <w:rPr>
              <w:rFonts w:hint="eastAsia" w:ascii="楷体_GB2312" w:hAnsi="楷体_GB2312" w:eastAsia="楷体_GB2312" w:cs="楷体_GB2312"/>
              <w:kern w:val="2"/>
              <w:sz w:val="32"/>
              <w:szCs w:val="32"/>
              <w:lang w:val="en-US" w:eastAsia="zh-CN" w:bidi="ar-SA"/>
            </w:rPr>
            <w:t>四）项目效益情况</w:t>
          </w:r>
          <w:r>
            <w:rPr>
              <w:sz w:val="32"/>
              <w:szCs w:val="32"/>
            </w:rPr>
            <w:tab/>
          </w:r>
          <w:r>
            <w:rPr>
              <w:sz w:val="32"/>
              <w:szCs w:val="32"/>
            </w:rPr>
            <w:fldChar w:fldCharType="begin"/>
          </w:r>
          <w:r>
            <w:rPr>
              <w:sz w:val="32"/>
              <w:szCs w:val="32"/>
            </w:rPr>
            <w:instrText xml:space="preserve"> PAGEREF _Toc10019 \h </w:instrText>
          </w:r>
          <w:r>
            <w:rPr>
              <w:sz w:val="32"/>
              <w:szCs w:val="32"/>
            </w:rPr>
            <w:fldChar w:fldCharType="separate"/>
          </w:r>
          <w:r>
            <w:rPr>
              <w:sz w:val="32"/>
              <w:szCs w:val="32"/>
            </w:rPr>
            <w:t>12</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_Toc7248 </w:instrText>
          </w:r>
          <w:r>
            <w:rPr>
              <w:rFonts w:hint="eastAsia" w:ascii="黑体" w:hAnsi="宋体" w:eastAsia="黑体" w:cs="Arial"/>
              <w:bCs/>
              <w:sz w:val="32"/>
              <w:szCs w:val="32"/>
            </w:rPr>
            <w:fldChar w:fldCharType="separate"/>
          </w:r>
          <w:r>
            <w:rPr>
              <w:rFonts w:hint="eastAsia" w:ascii="黑体" w:hAnsi="黑体" w:eastAsia="黑体"/>
              <w:sz w:val="32"/>
              <w:szCs w:val="32"/>
              <w:lang w:val="en-US" w:eastAsia="zh-CN"/>
            </w:rPr>
            <w:t>五、主要经验及做法、存在的问题及原因分析</w:t>
          </w:r>
          <w:r>
            <w:rPr>
              <w:sz w:val="32"/>
              <w:szCs w:val="32"/>
            </w:rPr>
            <w:tab/>
          </w:r>
          <w:r>
            <w:rPr>
              <w:sz w:val="32"/>
              <w:szCs w:val="32"/>
            </w:rPr>
            <w:fldChar w:fldCharType="begin"/>
          </w:r>
          <w:r>
            <w:rPr>
              <w:sz w:val="32"/>
              <w:szCs w:val="32"/>
            </w:rPr>
            <w:instrText xml:space="preserve"> PAGEREF _Toc7248 \h </w:instrText>
          </w:r>
          <w:r>
            <w:rPr>
              <w:sz w:val="32"/>
              <w:szCs w:val="32"/>
            </w:rPr>
            <w:fldChar w:fldCharType="separate"/>
          </w:r>
          <w:r>
            <w:rPr>
              <w:sz w:val="32"/>
              <w:szCs w:val="32"/>
            </w:rPr>
            <w:t>14</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_Toc13778 </w:instrText>
          </w:r>
          <w:r>
            <w:rPr>
              <w:rFonts w:hint="eastAsia" w:ascii="黑体" w:hAnsi="宋体" w:eastAsia="黑体" w:cs="Arial"/>
              <w:bCs/>
              <w:sz w:val="32"/>
              <w:szCs w:val="32"/>
            </w:rPr>
            <w:fldChar w:fldCharType="separate"/>
          </w:r>
          <w:r>
            <w:rPr>
              <w:rFonts w:hint="eastAsia" w:ascii="楷体_GB2312" w:hAnsi="楷体_GB2312" w:eastAsia="楷体_GB2312" w:cs="楷体_GB2312"/>
              <w:bCs/>
              <w:kern w:val="2"/>
              <w:sz w:val="32"/>
              <w:szCs w:val="32"/>
              <w:lang w:val="en-US" w:eastAsia="zh-CN" w:bidi="ar-SA"/>
            </w:rPr>
            <w:t xml:space="preserve">（一） </w:t>
          </w:r>
          <w:r>
            <w:rPr>
              <w:rFonts w:hint="eastAsia" w:ascii="楷体_GB2312" w:hAnsi="楷体_GB2312" w:eastAsia="楷体_GB2312" w:cs="楷体_GB2312"/>
              <w:kern w:val="2"/>
              <w:sz w:val="32"/>
              <w:szCs w:val="32"/>
              <w:lang w:val="en-US" w:eastAsia="zh-CN" w:bidi="ar-SA"/>
            </w:rPr>
            <w:t>主要经验及做法</w:t>
          </w:r>
          <w:r>
            <w:rPr>
              <w:sz w:val="32"/>
              <w:szCs w:val="32"/>
            </w:rPr>
            <w:tab/>
          </w:r>
          <w:r>
            <w:rPr>
              <w:sz w:val="32"/>
              <w:szCs w:val="32"/>
            </w:rPr>
            <w:fldChar w:fldCharType="begin"/>
          </w:r>
          <w:r>
            <w:rPr>
              <w:sz w:val="32"/>
              <w:szCs w:val="32"/>
            </w:rPr>
            <w:instrText xml:space="preserve"> PAGEREF _Toc13778 \h </w:instrText>
          </w:r>
          <w:r>
            <w:rPr>
              <w:sz w:val="32"/>
              <w:szCs w:val="32"/>
            </w:rPr>
            <w:fldChar w:fldCharType="separate"/>
          </w:r>
          <w:r>
            <w:rPr>
              <w:sz w:val="32"/>
              <w:szCs w:val="32"/>
            </w:rPr>
            <w:t>14</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_Toc25820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highlight w:val="none"/>
              <w:lang w:val="en-US" w:eastAsia="zh-CN" w:bidi="ar-SA"/>
            </w:rPr>
            <w:t>（二）存在的问题及原因说</w:t>
          </w:r>
          <w:r>
            <w:rPr>
              <w:rFonts w:hint="eastAsia" w:ascii="楷体_GB2312" w:hAnsi="楷体_GB2312" w:eastAsia="楷体_GB2312" w:cs="楷体_GB2312"/>
              <w:kern w:val="2"/>
              <w:sz w:val="32"/>
              <w:szCs w:val="32"/>
              <w:lang w:val="en-US" w:eastAsia="zh-CN" w:bidi="ar-SA"/>
            </w:rPr>
            <w:t>明</w:t>
          </w:r>
          <w:r>
            <w:rPr>
              <w:sz w:val="32"/>
              <w:szCs w:val="32"/>
            </w:rPr>
            <w:tab/>
          </w:r>
          <w:r>
            <w:rPr>
              <w:sz w:val="32"/>
              <w:szCs w:val="32"/>
            </w:rPr>
            <w:fldChar w:fldCharType="begin"/>
          </w:r>
          <w:r>
            <w:rPr>
              <w:sz w:val="32"/>
              <w:szCs w:val="32"/>
            </w:rPr>
            <w:instrText xml:space="preserve"> PAGEREF _Toc25820 \h </w:instrText>
          </w:r>
          <w:r>
            <w:rPr>
              <w:sz w:val="32"/>
              <w:szCs w:val="32"/>
            </w:rPr>
            <w:fldChar w:fldCharType="separate"/>
          </w:r>
          <w:r>
            <w:rPr>
              <w:sz w:val="32"/>
              <w:szCs w:val="32"/>
            </w:rPr>
            <w:t>14</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_Toc28921 </w:instrText>
          </w:r>
          <w:r>
            <w:rPr>
              <w:rFonts w:hint="eastAsia" w:ascii="黑体" w:hAnsi="宋体" w:eastAsia="黑体" w:cs="Arial"/>
              <w:bCs/>
              <w:sz w:val="32"/>
              <w:szCs w:val="32"/>
            </w:rPr>
            <w:fldChar w:fldCharType="separate"/>
          </w:r>
          <w:r>
            <w:rPr>
              <w:rFonts w:hint="eastAsia" w:ascii="黑体" w:hAnsi="黑体" w:eastAsia="黑体"/>
              <w:sz w:val="32"/>
              <w:szCs w:val="32"/>
              <w:highlight w:val="none"/>
              <w:lang w:val="en-US" w:eastAsia="zh-CN"/>
            </w:rPr>
            <w:t>六、有关建议</w:t>
          </w:r>
          <w:r>
            <w:rPr>
              <w:sz w:val="32"/>
              <w:szCs w:val="32"/>
            </w:rPr>
            <w:tab/>
          </w:r>
          <w:r>
            <w:rPr>
              <w:sz w:val="32"/>
              <w:szCs w:val="32"/>
            </w:rPr>
            <w:fldChar w:fldCharType="begin"/>
          </w:r>
          <w:r>
            <w:rPr>
              <w:sz w:val="32"/>
              <w:szCs w:val="32"/>
            </w:rPr>
            <w:instrText xml:space="preserve"> PAGEREF _Toc28921 \h </w:instrText>
          </w:r>
          <w:r>
            <w:rPr>
              <w:sz w:val="32"/>
              <w:szCs w:val="32"/>
            </w:rPr>
            <w:fldChar w:fldCharType="separate"/>
          </w:r>
          <w:r>
            <w:rPr>
              <w:sz w:val="32"/>
              <w:szCs w:val="32"/>
            </w:rPr>
            <w:t>15</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_Toc7463 </w:instrText>
          </w:r>
          <w:r>
            <w:rPr>
              <w:rFonts w:hint="eastAsia" w:ascii="黑体" w:hAnsi="宋体" w:eastAsia="黑体" w:cs="Arial"/>
              <w:bCs/>
              <w:sz w:val="32"/>
              <w:szCs w:val="32"/>
            </w:rPr>
            <w:fldChar w:fldCharType="separate"/>
          </w:r>
          <w:r>
            <w:rPr>
              <w:rFonts w:hint="eastAsia" w:ascii="黑体" w:hAnsi="黑体" w:eastAsia="黑体"/>
              <w:sz w:val="32"/>
              <w:szCs w:val="32"/>
              <w:highlight w:val="none"/>
              <w:lang w:val="en-US" w:eastAsia="zh-CN"/>
            </w:rPr>
            <w:t>七、其他需要说明的问题</w:t>
          </w:r>
          <w:r>
            <w:rPr>
              <w:sz w:val="32"/>
              <w:szCs w:val="32"/>
            </w:rPr>
            <w:tab/>
          </w:r>
          <w:r>
            <w:rPr>
              <w:sz w:val="32"/>
              <w:szCs w:val="32"/>
            </w:rPr>
            <w:fldChar w:fldCharType="begin"/>
          </w:r>
          <w:r>
            <w:rPr>
              <w:sz w:val="32"/>
              <w:szCs w:val="32"/>
            </w:rPr>
            <w:instrText xml:space="preserve"> PAGEREF _Toc7463 \h </w:instrText>
          </w:r>
          <w:r>
            <w:rPr>
              <w:sz w:val="32"/>
              <w:szCs w:val="32"/>
            </w:rPr>
            <w:fldChar w:fldCharType="separate"/>
          </w:r>
          <w:r>
            <w:rPr>
              <w:sz w:val="32"/>
              <w:szCs w:val="32"/>
            </w:rPr>
            <w:t>15</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_Toc4737 </w:instrText>
          </w:r>
          <w:r>
            <w:rPr>
              <w:rFonts w:hint="eastAsia" w:ascii="黑体" w:hAnsi="宋体" w:eastAsia="黑体" w:cs="Arial"/>
              <w:bCs/>
              <w:sz w:val="32"/>
              <w:szCs w:val="32"/>
            </w:rPr>
            <w:fldChar w:fldCharType="separate"/>
          </w:r>
          <w:r>
            <w:rPr>
              <w:rFonts w:hint="eastAsia" w:ascii="黑体" w:hAnsi="黑体" w:eastAsia="黑体" w:cs="黑体"/>
              <w:bCs w:val="0"/>
              <w:kern w:val="44"/>
              <w:sz w:val="32"/>
              <w:szCs w:val="32"/>
              <w:lang w:val="en-US" w:eastAsia="zh-CN"/>
            </w:rPr>
            <w:t>八</w:t>
          </w:r>
          <w:r>
            <w:rPr>
              <w:rFonts w:hint="eastAsia" w:ascii="黑体" w:hAnsi="黑体" w:eastAsia="黑体" w:cs="黑体"/>
              <w:bCs w:val="0"/>
              <w:kern w:val="44"/>
              <w:sz w:val="32"/>
              <w:szCs w:val="32"/>
            </w:rPr>
            <w:t>、</w:t>
          </w:r>
          <w:r>
            <w:rPr>
              <w:rFonts w:hint="eastAsia" w:ascii="黑体" w:hAnsi="黑体" w:eastAsia="黑体" w:cs="黑体"/>
              <w:bCs w:val="0"/>
              <w:kern w:val="44"/>
              <w:sz w:val="32"/>
              <w:szCs w:val="32"/>
              <w:lang w:val="en-US" w:eastAsia="zh-CN"/>
            </w:rPr>
            <w:t>附件</w:t>
          </w:r>
          <w:r>
            <w:rPr>
              <w:sz w:val="32"/>
              <w:szCs w:val="32"/>
            </w:rPr>
            <w:tab/>
          </w:r>
          <w:r>
            <w:rPr>
              <w:sz w:val="32"/>
              <w:szCs w:val="32"/>
            </w:rPr>
            <w:fldChar w:fldCharType="begin"/>
          </w:r>
          <w:r>
            <w:rPr>
              <w:sz w:val="32"/>
              <w:szCs w:val="32"/>
            </w:rPr>
            <w:instrText xml:space="preserve"> PAGEREF _Toc4737 \h </w:instrText>
          </w:r>
          <w:r>
            <w:rPr>
              <w:sz w:val="32"/>
              <w:szCs w:val="32"/>
            </w:rPr>
            <w:fldChar w:fldCharType="separate"/>
          </w:r>
          <w:r>
            <w:rPr>
              <w:sz w:val="32"/>
              <w:szCs w:val="32"/>
            </w:rPr>
            <w:t>15</w:t>
          </w:r>
          <w:r>
            <w:rPr>
              <w:sz w:val="32"/>
              <w:szCs w:val="32"/>
            </w:rPr>
            <w:fldChar w:fldCharType="end"/>
          </w:r>
          <w:r>
            <w:rPr>
              <w:rFonts w:hint="eastAsia" w:ascii="黑体" w:hAnsi="宋体" w:eastAsia="黑体" w:cs="Arial"/>
              <w:bCs/>
              <w:color w:val="000000"/>
              <w:sz w:val="32"/>
              <w:szCs w:val="32"/>
            </w:rPr>
            <w:fldChar w:fldCharType="end"/>
          </w:r>
        </w:p>
        <w:p>
          <w:pPr>
            <w:pStyle w:val="5"/>
            <w:spacing w:line="360" w:lineRule="auto"/>
            <w:rPr>
              <w:rFonts w:hint="eastAsia" w:ascii="黑体" w:hAnsi="黑体" w:eastAsia="黑体" w:cs="黑体"/>
              <w:b w:val="0"/>
              <w:bCs/>
              <w:kern w:val="44"/>
              <w:sz w:val="32"/>
              <w:szCs w:val="32"/>
              <w:lang w:val="en-US" w:eastAsia="zh-CN" w:bidi="ar-SA"/>
            </w:rPr>
            <w:sectPr>
              <w:headerReference r:id="rId3" w:type="default"/>
              <w:footerReference r:id="rId4" w:type="default"/>
              <w:pgSz w:w="11906" w:h="16838"/>
              <w:pgMar w:top="1417" w:right="1417" w:bottom="1417" w:left="1417" w:header="851" w:footer="992" w:gutter="0"/>
              <w:pgNumType w:fmt="decimal"/>
              <w:cols w:space="425" w:num="1"/>
              <w:docGrid w:type="lines" w:linePitch="312" w:charSpace="0"/>
            </w:sectPr>
          </w:pPr>
          <w:r>
            <w:rPr>
              <w:rFonts w:hint="eastAsia" w:ascii="黑体" w:hAnsi="宋体" w:eastAsia="黑体" w:cs="Arial"/>
              <w:bCs/>
              <w:color w:val="000000"/>
              <w:sz w:val="32"/>
              <w:szCs w:val="32"/>
            </w:rPr>
            <w:fldChar w:fldCharType="end"/>
          </w:r>
        </w:p>
      </w:sdtContent>
    </w:sdt>
    <w:p>
      <w:pPr>
        <w:keepNext w:val="0"/>
        <w:keepLines w:val="0"/>
        <w:pageBreakBefore w:val="0"/>
        <w:widowControl w:val="0"/>
        <w:kinsoku/>
        <w:wordWrap/>
        <w:overflowPunct/>
        <w:topLinePunct w:val="0"/>
        <w:autoSpaceDE/>
        <w:autoSpaceDN/>
        <w:bidi w:val="0"/>
        <w:adjustRightInd/>
        <w:snapToGrid/>
        <w:spacing w:before="0" w:after="0" w:line="560" w:lineRule="exact"/>
        <w:ind w:left="0" w:right="0"/>
        <w:jc w:val="center"/>
        <w:textAlignment w:val="auto"/>
        <w:rPr>
          <w:rFonts w:hint="eastAsia" w:ascii="方正小标宋_GBK" w:hAnsi="方正小标宋_GBK" w:eastAsia="方正小标宋_GBK" w:cs="方正小标宋_GBK"/>
          <w:bCs/>
          <w:kern w:val="2"/>
          <w:sz w:val="44"/>
          <w:szCs w:val="44"/>
          <w:highlight w:val="none"/>
          <w:lang w:val="en-US" w:eastAsia="zh-CN" w:bidi="ar-SA"/>
        </w:rPr>
      </w:pPr>
      <w:r>
        <w:rPr>
          <w:rFonts w:hint="eastAsia" w:ascii="方正小标宋_GBK" w:hAnsi="方正小标宋_GBK" w:eastAsia="方正小标宋_GBK" w:cs="方正小标宋_GBK"/>
          <w:bCs/>
          <w:kern w:val="2"/>
          <w:sz w:val="44"/>
          <w:szCs w:val="44"/>
          <w:highlight w:val="none"/>
          <w:lang w:val="en-US" w:eastAsia="zh-CN" w:bidi="ar-SA"/>
        </w:rPr>
        <w:t>市福利院服务对象生活区提升改造项目</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jc w:val="center"/>
        <w:textAlignment w:val="auto"/>
        <w:rPr>
          <w:rFonts w:hint="eastAsia" w:ascii="方正小标宋_GBK" w:hAnsi="方正小标宋_GBK" w:eastAsia="方正小标宋_GBK" w:cs="方正小标宋_GBK"/>
          <w:bCs/>
          <w:kern w:val="2"/>
          <w:sz w:val="44"/>
          <w:szCs w:val="44"/>
          <w:highlight w:val="none"/>
          <w:lang w:val="en-US" w:eastAsia="zh-CN" w:bidi="ar-SA"/>
        </w:rPr>
      </w:pPr>
      <w:r>
        <w:rPr>
          <w:rFonts w:hint="eastAsia" w:ascii="方正小标宋_GBK" w:hAnsi="方正小标宋_GBK" w:eastAsia="方正小标宋_GBK" w:cs="方正小标宋_GBK"/>
          <w:bCs/>
          <w:kern w:val="2"/>
          <w:sz w:val="44"/>
          <w:szCs w:val="44"/>
          <w:highlight w:val="none"/>
          <w:lang w:val="en-US" w:eastAsia="zh-CN" w:bidi="ar-SA"/>
        </w:rPr>
        <w:t>支出绩效评价报告</w:t>
      </w:r>
    </w:p>
    <w:p>
      <w:pPr>
        <w:pStyle w:val="14"/>
        <w:pageBreakBefore w:val="0"/>
        <w:kinsoku/>
        <w:wordWrap/>
        <w:overflowPunct/>
        <w:topLinePunct w:val="0"/>
        <w:autoSpaceDE/>
        <w:autoSpaceDN/>
        <w:bidi w:val="0"/>
        <w:adjustRightInd/>
        <w:snapToGrid/>
        <w:spacing w:line="560" w:lineRule="exact"/>
        <w:textAlignment w:val="auto"/>
        <w:outlineLvl w:val="9"/>
        <w:rPr>
          <w:rFonts w:hint="eastAsia" w:ascii="仿宋_GB2312" w:hAnsi="仿宋" w:cs="Times New Roman"/>
          <w:szCs w:val="32"/>
          <w:lang w:eastAsia="zh-CN"/>
        </w:rPr>
      </w:pPr>
    </w:p>
    <w:p>
      <w:pPr>
        <w:keepNext w:val="0"/>
        <w:keepLines w:val="0"/>
        <w:pageBreakBefore w:val="0"/>
        <w:widowControl w:val="0"/>
        <w:kinsoku/>
        <w:wordWrap/>
        <w:overflowPunct/>
        <w:topLinePunct w:val="0"/>
        <w:autoSpaceDE/>
        <w:autoSpaceDN/>
        <w:bidi w:val="0"/>
        <w:adjustRightInd/>
        <w:snapToGrid/>
        <w:spacing w:line="536" w:lineRule="exact"/>
        <w:ind w:firstLine="640" w:firstLineChars="200"/>
        <w:jc w:val="both"/>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为深入贯彻落实《中共中央国务院关于全面实施预算绩效管理的意见》（中发〔2018〕34号）、《财政部关于印发项目支出绩效评价管理办法的通知》（财预〔2020〕10号）、《中共江西省委 江西省人民政府关于全面实施预算绩效管理的实施意见》（赣发〔2019〕8号）等文件精神，提高资金使用效益和政策实施效果，提升预算绩效管理水平，对市福利院服务对象生活区提升改造项目（以下简称“该项目”）进行了部门评价。此次部门评价采用定量分析和定性分析相结合的方法，从项目决策、项目过程、项目产出和项目效益四个方面对项目进行了综合评价，现将绩效评价情况报告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olor w:val="000000"/>
          <w:sz w:val="32"/>
          <w:szCs w:val="32"/>
          <w:lang w:val="en-US" w:eastAsia="zh-CN"/>
        </w:rPr>
      </w:pPr>
      <w:bookmarkStart w:id="0" w:name="_Toc1458"/>
      <w:r>
        <w:rPr>
          <w:rFonts w:hint="eastAsia" w:ascii="黑体" w:hAnsi="黑体" w:eastAsia="黑体"/>
          <w:color w:val="000000"/>
          <w:sz w:val="32"/>
          <w:szCs w:val="32"/>
          <w:lang w:val="en-US" w:eastAsia="zh-CN"/>
        </w:rPr>
        <w:t>一、基本情况</w:t>
      </w:r>
      <w:bookmarkEnd w:id="0"/>
    </w:p>
    <w:p>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outlineLvl w:val="1"/>
        <w:rPr>
          <w:rFonts w:hint="eastAsia" w:ascii="楷体_GB2312" w:hAnsi="楷体_GB2312" w:eastAsia="楷体_GB2312" w:cs="楷体_GB2312"/>
          <w:b/>
          <w:color w:val="000000"/>
          <w:kern w:val="2"/>
          <w:sz w:val="32"/>
          <w:szCs w:val="32"/>
          <w:lang w:val="en-US" w:eastAsia="zh-CN" w:bidi="ar-SA"/>
        </w:rPr>
      </w:pPr>
      <w:bookmarkStart w:id="1" w:name="_Toc28642"/>
      <w:r>
        <w:rPr>
          <w:rFonts w:hint="eastAsia" w:ascii="楷体_GB2312" w:hAnsi="楷体_GB2312" w:eastAsia="楷体_GB2312" w:cs="楷体_GB2312"/>
          <w:b/>
          <w:color w:val="000000"/>
          <w:kern w:val="2"/>
          <w:sz w:val="32"/>
          <w:szCs w:val="32"/>
          <w:lang w:val="en-US" w:eastAsia="zh-CN" w:bidi="ar-SA"/>
        </w:rPr>
        <w:t>（一）项目概况</w:t>
      </w:r>
      <w:bookmarkEnd w:id="1"/>
    </w:p>
    <w:p>
      <w:pPr>
        <w:pStyle w:val="5"/>
        <w:keepNext w:val="0"/>
        <w:keepLines w:val="0"/>
        <w:pageBreakBefore w:val="0"/>
        <w:widowControl w:val="0"/>
        <w:kinsoku/>
        <w:wordWrap/>
        <w:overflowPunct/>
        <w:topLinePunct w:val="0"/>
        <w:autoSpaceDE/>
        <w:autoSpaceDN/>
        <w:bidi w:val="0"/>
        <w:adjustRightInd/>
        <w:snapToGrid/>
        <w:spacing w:line="360" w:lineRule="auto"/>
        <w:ind w:firstLine="641" w:firstLineChars="200"/>
        <w:jc w:val="both"/>
        <w:textAlignment w:val="auto"/>
        <w:outlineLvl w:val="9"/>
        <w:rPr>
          <w:rFonts w:hint="default"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1.项目背景</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仿宋" w:hAnsi="仿宋" w:eastAsia="仿宋" w:cs="仿宋"/>
          <w:color w:val="auto"/>
          <w:sz w:val="32"/>
          <w:szCs w:val="32"/>
        </w:rPr>
      </w:pPr>
      <w:r>
        <w:rPr>
          <w:rFonts w:hint="eastAsia" w:ascii="仿宋_GB2312" w:hAnsi="宋体" w:eastAsia="仿宋_GB2312" w:cs="仿宋_GB2312"/>
          <w:sz w:val="32"/>
          <w:szCs w:val="32"/>
          <w:lang w:eastAsia="zh-CN"/>
        </w:rPr>
        <w:t>近年来，随着福利机构服务职能不断延伸，南昌市社会福利院从仅接收“三无”对象延伸到惠及更多的困境儿童；服务方式亦由救济型向福利型，单纯供养型向供养、康复及教育型转变。根据住房城乡建设部 国家发展改革委发布的《综合社会福利院建设标准》要求，现有建设规模不仅难以满足日益增多服务对象的需求，且由于规划建设年代较早，布局不合理、功能分区欠完善等问题突显，远不能适应新形势下社会福利事业发展的需要，</w:t>
      </w:r>
      <w:r>
        <w:rPr>
          <w:rFonts w:hint="eastAsia" w:ascii="仿宋_GB2312" w:hAnsi="宋体" w:eastAsia="仿宋_GB2312" w:cs="仿宋_GB2312"/>
          <w:sz w:val="32"/>
          <w:szCs w:val="32"/>
          <w:lang w:val="en-US" w:eastAsia="zh-CN"/>
        </w:rPr>
        <w:t>因此对服务对象生活区进行了提升改造。</w:t>
      </w:r>
      <w:r>
        <w:rPr>
          <w:rFonts w:hint="eastAsia" w:ascii="仿宋_GB2312" w:hAnsi="宋体" w:eastAsia="仿宋_GB2312" w:cs="仿宋_GB2312"/>
          <w:sz w:val="32"/>
          <w:szCs w:val="32"/>
          <w:lang w:eastAsia="zh-CN"/>
        </w:rPr>
        <w:t>本项目建设将极大的改善福利院的硬件设施，满足日益增多的服务对象的需求，使福利院布局更加合理，功能分区明显，适应新形势下社会福利事业发展。</w:t>
      </w:r>
    </w:p>
    <w:p>
      <w:pPr>
        <w:pStyle w:val="5"/>
        <w:keepNext w:val="0"/>
        <w:keepLines w:val="0"/>
        <w:pageBreakBefore w:val="0"/>
        <w:widowControl w:val="0"/>
        <w:kinsoku/>
        <w:wordWrap/>
        <w:overflowPunct/>
        <w:topLinePunct w:val="0"/>
        <w:autoSpaceDE/>
        <w:autoSpaceDN/>
        <w:bidi w:val="0"/>
        <w:adjustRightInd/>
        <w:snapToGrid/>
        <w:spacing w:line="360" w:lineRule="auto"/>
        <w:ind w:firstLine="641" w:firstLineChars="200"/>
        <w:jc w:val="both"/>
        <w:textAlignment w:val="auto"/>
        <w:outlineLvl w:val="9"/>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2.项目主要内容及实施情况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（1）项目主要内容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sz w:val="32"/>
          <w:szCs w:val="32"/>
          <w:lang w:val="en-US" w:eastAsia="zh-CN"/>
        </w:rPr>
        <w:t>主要建设内容及规模：</w:t>
      </w:r>
      <w:r>
        <w:rPr>
          <w:rFonts w:hint="eastAsia" w:ascii="仿宋_GB2312" w:hAnsi="宋体" w:eastAsia="仿宋_GB2312" w:cs="仿宋_GB2312"/>
          <w:sz w:val="32"/>
          <w:szCs w:val="32"/>
          <w:lang w:eastAsia="zh-CN"/>
        </w:rPr>
        <w:t>本项目用地面积35716.50㎡，总建筑面积28570.2㎡，现有建筑面积23299.2㎡，拆除旧建筑</w:t>
      </w:r>
      <w:r>
        <w:rPr>
          <w:rFonts w:hint="eastAsia" w:ascii="仿宋_GB2312" w:hAnsi="宋体" w:eastAsia="仿宋_GB2312" w:cs="仿宋_GB2312"/>
          <w:sz w:val="32"/>
          <w:szCs w:val="32"/>
          <w:lang w:val="en-US" w:eastAsia="zh-CN"/>
        </w:rPr>
        <w:t>9</w:t>
      </w:r>
      <w:r>
        <w:rPr>
          <w:rFonts w:hint="eastAsia" w:ascii="仿宋_GB2312" w:hAnsi="宋体" w:eastAsia="仿宋_GB2312" w:cs="仿宋_GB2312"/>
          <w:sz w:val="32"/>
          <w:szCs w:val="32"/>
          <w:lang w:eastAsia="zh-CN"/>
        </w:rPr>
        <w:t>000㎡，保留沿街建筑6060㎡、新儿童福利院大楼7300㎡，颐养中心大楼9939.2㎡；新建管理用房、附属用房、生活用房、接待登记用房、教育活动用房、医疗康复用房共12417.3㎡；室外运动场地面积</w:t>
      </w:r>
      <w:r>
        <w:rPr>
          <w:rFonts w:hint="eastAsia" w:ascii="仿宋_GB2312" w:hAnsi="宋体" w:eastAsia="仿宋_GB2312" w:cs="仿宋_GB2312"/>
          <w:sz w:val="32"/>
          <w:szCs w:val="32"/>
          <w:lang w:val="en-US" w:eastAsia="zh-CN"/>
        </w:rPr>
        <w:t>3060㎡；</w:t>
      </w:r>
      <w:r>
        <w:rPr>
          <w:rFonts w:hint="eastAsia" w:ascii="仿宋_GB2312" w:hAnsi="宋体" w:eastAsia="仿宋_GB2312" w:cs="仿宋_GB2312"/>
          <w:sz w:val="32"/>
          <w:szCs w:val="32"/>
          <w:lang w:eastAsia="zh-CN"/>
        </w:rPr>
        <w:t>新建地下室7000㎡等及相关配套设施。</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（2）项目实施情况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该项目的建设单位为南昌市社会福利院（以下简称“福利院”），由其负责项目的投资建设，以及项目建成后的日常运营、维护和管理工作，项目具体实施情况如下：</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①立项阶段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该项目属于政府投资建设项目，已获得南昌市发展和改革委员会批复的《关于南昌市社会福利院服务对象生活区提升改造项目建议书的批复》（洪发改社字</w:t>
      </w:r>
      <w:r>
        <w:rPr>
          <w:rFonts w:hint="eastAsia" w:ascii="仿宋" w:hAnsi="仿宋" w:eastAsia="仿宋" w:cs="仿宋"/>
          <w:b w:val="0"/>
          <w:kern w:val="2"/>
          <w:sz w:val="28"/>
          <w:szCs w:val="28"/>
          <w:vertAlign w:val="baseline"/>
          <w:lang w:val="en-US" w:eastAsia="zh-CN" w:bidi="ar-SA"/>
        </w:rPr>
        <w:t>〔2018〕12号</w:t>
      </w:r>
      <w:r>
        <w:rPr>
          <w:rFonts w:hint="eastAsia" w:ascii="仿宋_GB2312" w:hAnsi="宋体" w:eastAsia="仿宋_GB2312" w:cs="仿宋_GB2312"/>
          <w:color w:val="auto"/>
          <w:sz w:val="32"/>
          <w:szCs w:val="32"/>
          <w:highlight w:val="none"/>
          <w:lang w:val="en-US" w:eastAsia="zh-CN"/>
        </w:rPr>
        <w:t>）、南昌市行政审批局批复的《关于批复南昌市社会福利院服务对象生活区提升改造项目可行性研究报告的函》（洪行审投字</w:t>
      </w:r>
      <w:r>
        <w:rPr>
          <w:rFonts w:hint="eastAsia" w:ascii="仿宋" w:hAnsi="仿宋" w:eastAsia="仿宋" w:cs="仿宋"/>
          <w:b w:val="0"/>
          <w:kern w:val="2"/>
          <w:sz w:val="28"/>
          <w:szCs w:val="28"/>
          <w:vertAlign w:val="baseline"/>
          <w:lang w:val="en-US" w:eastAsia="zh-CN" w:bidi="ar-SA"/>
        </w:rPr>
        <w:t>〔2019〕55号</w:t>
      </w:r>
      <w:r>
        <w:rPr>
          <w:rFonts w:hint="eastAsia" w:ascii="仿宋_GB2312" w:hAnsi="宋体" w:eastAsia="仿宋_GB2312" w:cs="仿宋_GB2312"/>
          <w:color w:val="auto"/>
          <w:sz w:val="32"/>
          <w:szCs w:val="32"/>
          <w:highlight w:val="none"/>
          <w:lang w:val="en-US" w:eastAsia="zh-CN"/>
        </w:rPr>
        <w:t>）及《关于批复南昌市社会福利院服务对象生活区提升改造初步设计及概算审查的函》（洪行审投字</w:t>
      </w:r>
      <w:r>
        <w:rPr>
          <w:rFonts w:hint="eastAsia" w:ascii="仿宋" w:hAnsi="仿宋" w:eastAsia="仿宋" w:cs="仿宋"/>
          <w:b w:val="0"/>
          <w:kern w:val="2"/>
          <w:sz w:val="28"/>
          <w:szCs w:val="28"/>
          <w:vertAlign w:val="baseline"/>
          <w:lang w:val="en-US" w:eastAsia="zh-CN" w:bidi="ar-SA"/>
        </w:rPr>
        <w:t>〔2019〕268号</w:t>
      </w:r>
      <w:r>
        <w:rPr>
          <w:rFonts w:hint="eastAsia" w:ascii="仿宋_GB2312" w:hAnsi="宋体" w:eastAsia="仿宋_GB2312" w:cs="仿宋_GB2312"/>
          <w:color w:val="auto"/>
          <w:sz w:val="32"/>
          <w:szCs w:val="32"/>
          <w:highlight w:val="none"/>
          <w:lang w:val="en-US" w:eastAsia="zh-CN"/>
        </w:rPr>
        <w:t>）。</w:t>
      </w:r>
    </w:p>
    <w:p>
      <w:pPr>
        <w:pStyle w:val="5"/>
        <w:pageBreakBefore w:val="0"/>
        <w:numPr>
          <w:ilvl w:val="0"/>
          <w:numId w:val="0"/>
        </w:numPr>
        <w:wordWrap/>
        <w:overflowPunct/>
        <w:topLinePunct w:val="0"/>
        <w:bidi w:val="0"/>
        <w:spacing w:beforeAutospacing="0" w:afterAutospacing="0" w:line="576" w:lineRule="exact"/>
        <w:ind w:firstLine="641" w:firstLineChars="200"/>
        <w:jc w:val="cente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表1-1项目批复文号及批复时间</w:t>
      </w:r>
    </w:p>
    <w:tbl>
      <w:tblPr>
        <w:tblStyle w:val="12"/>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2"/>
        <w:gridCol w:w="3603"/>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302" w:type="dxa"/>
          </w:tcPr>
          <w:p>
            <w:pPr>
              <w:pStyle w:val="5"/>
              <w:pageBreakBefore w:val="0"/>
              <w:numPr>
                <w:ilvl w:val="0"/>
                <w:numId w:val="0"/>
              </w:numPr>
              <w:wordWrap/>
              <w:overflowPunct/>
              <w:topLinePunct w:val="0"/>
              <w:bidi w:val="0"/>
              <w:spacing w:beforeAutospacing="0" w:afterAutospacing="0" w:line="576" w:lineRule="exact"/>
              <w:rPr>
                <w:rFonts w:hint="eastAsia" w:ascii="仿宋" w:hAnsi="仿宋" w:eastAsia="仿宋" w:cs="仿宋"/>
                <w:b w:val="0"/>
                <w:kern w:val="2"/>
                <w:sz w:val="32"/>
                <w:szCs w:val="32"/>
                <w:vertAlign w:val="baseline"/>
                <w:lang w:val="en-US" w:eastAsia="zh-CN" w:bidi="ar-SA"/>
              </w:rPr>
            </w:pPr>
          </w:p>
        </w:tc>
        <w:tc>
          <w:tcPr>
            <w:tcW w:w="3603" w:type="dxa"/>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32"/>
                <w:szCs w:val="32"/>
                <w:vertAlign w:val="baseline"/>
                <w:lang w:val="en-US" w:eastAsia="zh-CN" w:bidi="ar-SA"/>
              </w:rPr>
            </w:pPr>
            <w:r>
              <w:rPr>
                <w:rFonts w:hint="eastAsia" w:ascii="仿宋" w:hAnsi="仿宋" w:eastAsia="仿宋" w:cs="仿宋"/>
                <w:b w:val="0"/>
                <w:kern w:val="2"/>
                <w:sz w:val="32"/>
                <w:szCs w:val="32"/>
                <w:vertAlign w:val="baseline"/>
                <w:lang w:val="en-US" w:eastAsia="zh-CN" w:bidi="ar-SA"/>
              </w:rPr>
              <w:t>批复文号</w:t>
            </w:r>
          </w:p>
        </w:tc>
        <w:tc>
          <w:tcPr>
            <w:tcW w:w="2611" w:type="dxa"/>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32"/>
                <w:szCs w:val="32"/>
                <w:vertAlign w:val="baseline"/>
                <w:lang w:val="en-US" w:eastAsia="zh-CN" w:bidi="ar-SA"/>
              </w:rPr>
            </w:pPr>
            <w:r>
              <w:rPr>
                <w:rFonts w:hint="eastAsia" w:ascii="仿宋" w:hAnsi="仿宋" w:eastAsia="仿宋" w:cs="仿宋"/>
                <w:b w:val="0"/>
                <w:kern w:val="2"/>
                <w:sz w:val="32"/>
                <w:szCs w:val="32"/>
                <w:vertAlign w:val="baseline"/>
                <w:lang w:val="en-US" w:eastAsia="zh-CN" w:bidi="ar-SA"/>
              </w:rPr>
              <w:t>批复日期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trPr>
        <w:tc>
          <w:tcPr>
            <w:tcW w:w="2302"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立项批复</w:t>
            </w:r>
          </w:p>
        </w:tc>
        <w:tc>
          <w:tcPr>
            <w:tcW w:w="3603"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洪发改社字〔2018〕12号</w:t>
            </w:r>
          </w:p>
        </w:tc>
        <w:tc>
          <w:tcPr>
            <w:tcW w:w="2611"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2018年3月7日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48" w:hRule="atLeast"/>
        </w:trPr>
        <w:tc>
          <w:tcPr>
            <w:tcW w:w="2302"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可研批复</w:t>
            </w:r>
          </w:p>
        </w:tc>
        <w:tc>
          <w:tcPr>
            <w:tcW w:w="3603"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洪行审投字〔2019〕55号</w:t>
            </w:r>
          </w:p>
        </w:tc>
        <w:tc>
          <w:tcPr>
            <w:tcW w:w="2611"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2019年4月2日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6" w:hRule="atLeast"/>
        </w:trPr>
        <w:tc>
          <w:tcPr>
            <w:tcW w:w="2302"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初设及概算批复</w:t>
            </w:r>
          </w:p>
        </w:tc>
        <w:tc>
          <w:tcPr>
            <w:tcW w:w="3603"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洪行审投字〔2019〕268号</w:t>
            </w:r>
          </w:p>
        </w:tc>
        <w:tc>
          <w:tcPr>
            <w:tcW w:w="2611"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2019年12月12日</w:t>
            </w:r>
          </w:p>
        </w:tc>
      </w:tr>
    </w:tbl>
    <w:p>
      <w:pPr>
        <w:pageBreakBefore w:val="0"/>
        <w:widowControl w:val="0"/>
        <w:numPr>
          <w:ilvl w:val="0"/>
          <w:numId w:val="0"/>
        </w:numPr>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②实施阶段</w:t>
      </w:r>
    </w:p>
    <w:p>
      <w:pPr>
        <w:pageBreakBefore w:val="0"/>
        <w:widowControl w:val="0"/>
        <w:numPr>
          <w:ilvl w:val="0"/>
          <w:numId w:val="0"/>
        </w:numPr>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b/>
          <w:bCs/>
          <w:kern w:val="2"/>
          <w:sz w:val="32"/>
          <w:szCs w:val="32"/>
          <w:lang w:val="en-US" w:eastAsia="zh-CN" w:bidi="ar-SA"/>
        </w:rPr>
      </w:pPr>
      <w:r>
        <w:rPr>
          <w:rFonts w:hint="default" w:ascii="仿宋_GB2312" w:hAnsi="宋体" w:eastAsia="仿宋_GB2312" w:cs="仿宋_GB2312"/>
          <w:b w:val="0"/>
          <w:color w:val="auto"/>
          <w:kern w:val="2"/>
          <w:sz w:val="32"/>
          <w:szCs w:val="32"/>
          <w:highlight w:val="none"/>
          <w:lang w:val="en-US" w:eastAsia="zh-CN" w:bidi="ar-SA"/>
        </w:rPr>
        <w:t>项目建设施工开始后，</w:t>
      </w:r>
      <w:r>
        <w:rPr>
          <w:rFonts w:hint="eastAsia" w:ascii="仿宋_GB2312" w:hAnsi="宋体" w:eastAsia="仿宋_GB2312" w:cs="仿宋_GB2312"/>
          <w:b w:val="0"/>
          <w:color w:val="auto"/>
          <w:kern w:val="2"/>
          <w:sz w:val="32"/>
          <w:szCs w:val="32"/>
          <w:highlight w:val="none"/>
          <w:lang w:val="en-US" w:eastAsia="zh-CN" w:bidi="ar-SA"/>
        </w:rPr>
        <w:t>各参建单位</w:t>
      </w:r>
      <w:r>
        <w:rPr>
          <w:rFonts w:hint="default" w:ascii="仿宋_GB2312" w:hAnsi="宋体" w:eastAsia="仿宋_GB2312" w:cs="仿宋_GB2312"/>
          <w:b w:val="0"/>
          <w:color w:val="auto"/>
          <w:kern w:val="2"/>
          <w:sz w:val="32"/>
          <w:szCs w:val="32"/>
          <w:highlight w:val="none"/>
          <w:lang w:val="en-US" w:eastAsia="zh-CN" w:bidi="ar-SA"/>
        </w:rPr>
        <w:t>根据招标书和合同约定的内容，以及相关流程要求，</w:t>
      </w:r>
      <w:r>
        <w:rPr>
          <w:rFonts w:hint="eastAsia" w:ascii="仿宋_GB2312" w:hAnsi="宋体" w:eastAsia="仿宋_GB2312" w:cs="仿宋_GB2312"/>
          <w:b w:val="0"/>
          <w:color w:val="auto"/>
          <w:kern w:val="2"/>
          <w:sz w:val="32"/>
          <w:szCs w:val="32"/>
          <w:highlight w:val="none"/>
          <w:lang w:val="en-US" w:eastAsia="zh-CN" w:bidi="ar-SA"/>
        </w:rPr>
        <w:t>执行</w:t>
      </w:r>
      <w:r>
        <w:rPr>
          <w:rFonts w:hint="default" w:ascii="仿宋_GB2312" w:hAnsi="宋体" w:eastAsia="仿宋_GB2312" w:cs="仿宋_GB2312"/>
          <w:b w:val="0"/>
          <w:color w:val="auto"/>
          <w:kern w:val="2"/>
          <w:sz w:val="32"/>
          <w:szCs w:val="32"/>
          <w:highlight w:val="none"/>
          <w:lang w:val="en-US" w:eastAsia="zh-CN" w:bidi="ar-SA"/>
        </w:rPr>
        <w:t>相应的</w:t>
      </w:r>
      <w:r>
        <w:rPr>
          <w:rFonts w:hint="eastAsia" w:ascii="仿宋_GB2312" w:hAnsi="宋体" w:eastAsia="仿宋_GB2312" w:cs="仿宋_GB2312"/>
          <w:b w:val="0"/>
          <w:color w:val="auto"/>
          <w:kern w:val="2"/>
          <w:sz w:val="32"/>
          <w:szCs w:val="32"/>
          <w:highlight w:val="none"/>
          <w:lang w:val="en-US" w:eastAsia="zh-CN" w:bidi="ar-SA"/>
        </w:rPr>
        <w:t>建设</w:t>
      </w:r>
      <w:r>
        <w:rPr>
          <w:rFonts w:hint="default" w:ascii="仿宋_GB2312" w:hAnsi="宋体" w:eastAsia="仿宋_GB2312" w:cs="仿宋_GB2312"/>
          <w:b w:val="0"/>
          <w:color w:val="auto"/>
          <w:kern w:val="2"/>
          <w:sz w:val="32"/>
          <w:szCs w:val="32"/>
          <w:highlight w:val="none"/>
          <w:lang w:val="en-US" w:eastAsia="zh-CN" w:bidi="ar-SA"/>
        </w:rPr>
        <w:t>工作。</w:t>
      </w:r>
      <w:r>
        <w:rPr>
          <w:rFonts w:hint="eastAsia" w:ascii="仿宋_GB2312" w:hAnsi="宋体" w:eastAsia="仿宋_GB2312" w:cs="仿宋_GB2312"/>
          <w:b w:val="0"/>
          <w:color w:val="auto"/>
          <w:kern w:val="2"/>
          <w:sz w:val="32"/>
          <w:szCs w:val="32"/>
          <w:highlight w:val="none"/>
          <w:lang w:val="en-US" w:eastAsia="zh-CN" w:bidi="ar-SA"/>
        </w:rPr>
        <w:t>福利院</w:t>
      </w:r>
      <w:r>
        <w:rPr>
          <w:rFonts w:hint="default" w:ascii="仿宋_GB2312" w:hAnsi="宋体" w:eastAsia="仿宋_GB2312" w:cs="仿宋_GB2312"/>
          <w:b w:val="0"/>
          <w:color w:val="auto"/>
          <w:kern w:val="2"/>
          <w:sz w:val="32"/>
          <w:szCs w:val="32"/>
          <w:highlight w:val="none"/>
          <w:lang w:val="en-US" w:eastAsia="zh-CN" w:bidi="ar-SA"/>
        </w:rPr>
        <w:t>作为项目实施管理方，对项目施工进度、施工质量和内容、施工内容变更、施工监理等工作负责，施工完成后，以竣工验收报告作为工程质量验收的依据。</w:t>
      </w:r>
      <w:r>
        <w:rPr>
          <w:rFonts w:hint="eastAsia" w:ascii="仿宋" w:hAnsi="仿宋" w:eastAsia="仿宋" w:cs="仿宋"/>
          <w:b w:val="0"/>
          <w:kern w:val="2"/>
          <w:sz w:val="32"/>
          <w:szCs w:val="32"/>
          <w:lang w:val="en-US" w:eastAsia="zh-CN" w:bidi="ar-SA"/>
        </w:rPr>
        <w:t>下表为项目工程实施具体情况：</w:t>
      </w:r>
    </w:p>
    <w:p>
      <w:pPr>
        <w:pageBreakBefore w:val="0"/>
        <w:widowControl w:val="0"/>
        <w:kinsoku/>
        <w:wordWrap/>
        <w:overflowPunct/>
        <w:topLinePunct w:val="0"/>
        <w:autoSpaceDE/>
        <w:autoSpaceDN/>
        <w:bidi w:val="0"/>
        <w:adjustRightInd/>
        <w:snapToGrid/>
        <w:spacing w:line="576" w:lineRule="exact"/>
        <w:jc w:val="center"/>
        <w:textAlignment w:val="auto"/>
        <w:outlineLvl w:val="9"/>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项目工程实施情况明细表</w:t>
      </w:r>
    </w:p>
    <w:tbl>
      <w:tblPr>
        <w:tblStyle w:val="12"/>
        <w:tblW w:w="9156" w:type="dxa"/>
        <w:tblInd w:w="-3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8"/>
        <w:gridCol w:w="3072"/>
        <w:gridCol w:w="2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atLeast"/>
        </w:trPr>
        <w:tc>
          <w:tcPr>
            <w:tcW w:w="3348" w:type="dxa"/>
            <w:noWrap w:val="0"/>
            <w:vAlign w:val="top"/>
          </w:tcPr>
          <w:p>
            <w:pPr>
              <w:pStyle w:val="5"/>
              <w:pageBreakBefore w:val="0"/>
              <w:widowControl w:val="0"/>
              <w:kinsoku/>
              <w:wordWrap/>
              <w:overflowPunct/>
              <w:topLinePunct w:val="0"/>
              <w:autoSpaceDE/>
              <w:autoSpaceDN/>
              <w:bidi w:val="0"/>
              <w:adjustRightInd/>
              <w:snapToGrid/>
              <w:spacing w:line="576" w:lineRule="exact"/>
              <w:jc w:val="center"/>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主要内容</w:t>
            </w:r>
          </w:p>
        </w:tc>
        <w:tc>
          <w:tcPr>
            <w:tcW w:w="3072" w:type="dxa"/>
            <w:noWrap w:val="0"/>
            <w:vAlign w:val="top"/>
          </w:tcPr>
          <w:p>
            <w:pPr>
              <w:pStyle w:val="5"/>
              <w:pageBreakBefore w:val="0"/>
              <w:widowControl w:val="0"/>
              <w:kinsoku/>
              <w:wordWrap/>
              <w:overflowPunct/>
              <w:topLinePunct w:val="0"/>
              <w:autoSpaceDE/>
              <w:autoSpaceDN/>
              <w:bidi w:val="0"/>
              <w:adjustRightInd/>
              <w:snapToGrid/>
              <w:spacing w:line="576" w:lineRule="exact"/>
              <w:jc w:val="center"/>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计划情况</w:t>
            </w:r>
          </w:p>
        </w:tc>
        <w:tc>
          <w:tcPr>
            <w:tcW w:w="2736" w:type="dxa"/>
            <w:noWrap w:val="0"/>
            <w:vAlign w:val="top"/>
          </w:tcPr>
          <w:p>
            <w:pPr>
              <w:pStyle w:val="5"/>
              <w:pageBreakBefore w:val="0"/>
              <w:widowControl w:val="0"/>
              <w:kinsoku/>
              <w:wordWrap/>
              <w:overflowPunct/>
              <w:topLinePunct w:val="0"/>
              <w:autoSpaceDE/>
              <w:autoSpaceDN/>
              <w:bidi w:val="0"/>
              <w:adjustRightInd/>
              <w:snapToGrid/>
              <w:spacing w:line="576" w:lineRule="exact"/>
              <w:jc w:val="center"/>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实际情况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atLeast"/>
        </w:trPr>
        <w:tc>
          <w:tcPr>
            <w:tcW w:w="3348" w:type="dxa"/>
            <w:noWrap w:val="0"/>
            <w:vAlign w:val="top"/>
          </w:tcPr>
          <w:p>
            <w:pPr>
              <w:pStyle w:val="5"/>
              <w:pageBreakBefore w:val="0"/>
              <w:widowControl w:val="0"/>
              <w:kinsoku/>
              <w:wordWrap/>
              <w:overflowPunct/>
              <w:topLinePunct w:val="0"/>
              <w:autoSpaceDE/>
              <w:autoSpaceDN/>
              <w:bidi w:val="0"/>
              <w:adjustRightInd/>
              <w:snapToGrid/>
              <w:spacing w:line="576" w:lineRule="exact"/>
              <w:jc w:val="center"/>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工期（天）</w:t>
            </w:r>
          </w:p>
        </w:tc>
        <w:tc>
          <w:tcPr>
            <w:tcW w:w="3072" w:type="dxa"/>
            <w:noWrap w:val="0"/>
            <w:vAlign w:val="top"/>
          </w:tcPr>
          <w:p>
            <w:pPr>
              <w:pStyle w:val="5"/>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540天</w:t>
            </w:r>
          </w:p>
        </w:tc>
        <w:tc>
          <w:tcPr>
            <w:tcW w:w="2736" w:type="dxa"/>
            <w:noWrap w:val="0"/>
            <w:vAlign w:val="top"/>
          </w:tcPr>
          <w:p>
            <w:pPr>
              <w:pStyle w:val="5"/>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仿宋" w:hAnsi="仿宋" w:eastAsia="仿宋" w:cs="仿宋"/>
                <w:b w:val="0"/>
                <w:kern w:val="2"/>
                <w:sz w:val="28"/>
                <w:szCs w:val="28"/>
                <w:highlight w:val="none"/>
                <w:lang w:val="en-US" w:eastAsia="zh-CN" w:bidi="ar-SA"/>
              </w:rPr>
            </w:pPr>
            <w:r>
              <w:rPr>
                <w:rFonts w:hint="eastAsia" w:ascii="仿宋" w:hAnsi="仿宋" w:eastAsia="仿宋" w:cs="仿宋"/>
                <w:b w:val="0"/>
                <w:kern w:val="2"/>
                <w:sz w:val="28"/>
                <w:szCs w:val="28"/>
                <w:highlight w:val="none"/>
                <w:lang w:val="en-US" w:eastAsia="zh-CN" w:bidi="ar-SA"/>
              </w:rPr>
              <w:t>已完工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atLeast"/>
        </w:trPr>
        <w:tc>
          <w:tcPr>
            <w:tcW w:w="3348" w:type="dxa"/>
            <w:noWrap w:val="0"/>
            <w:vAlign w:val="top"/>
          </w:tcPr>
          <w:p>
            <w:pPr>
              <w:pStyle w:val="5"/>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拆除建筑面积</w:t>
            </w:r>
          </w:p>
        </w:tc>
        <w:tc>
          <w:tcPr>
            <w:tcW w:w="3072" w:type="dxa"/>
            <w:noWrap w:val="0"/>
            <w:vAlign w:val="top"/>
          </w:tcPr>
          <w:p>
            <w:pPr>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9000㎡</w:t>
            </w:r>
          </w:p>
        </w:tc>
        <w:tc>
          <w:tcPr>
            <w:tcW w:w="2736" w:type="dxa"/>
            <w:noWrap w:val="0"/>
            <w:vAlign w:val="top"/>
          </w:tcPr>
          <w:p>
            <w:pPr>
              <w:pageBreakBefore w:val="0"/>
              <w:widowControl w:val="0"/>
              <w:kinsoku/>
              <w:wordWrap/>
              <w:overflowPunct/>
              <w:topLinePunct w:val="0"/>
              <w:autoSpaceDE/>
              <w:autoSpaceDN/>
              <w:bidi w:val="0"/>
              <w:adjustRightInd/>
              <w:snapToGrid/>
              <w:spacing w:line="576" w:lineRule="exact"/>
              <w:jc w:val="center"/>
              <w:textAlignment w:val="auto"/>
              <w:outlineLvl w:val="9"/>
              <w:rPr>
                <w:rFonts w:hint="eastAsia" w:ascii="仿宋" w:hAnsi="仿宋" w:eastAsia="仿宋" w:cs="仿宋"/>
                <w:b w:val="0"/>
                <w:kern w:val="2"/>
                <w:sz w:val="28"/>
                <w:szCs w:val="28"/>
                <w:highlight w:val="none"/>
                <w:lang w:val="en-US" w:eastAsia="zh-CN" w:bidi="ar-SA"/>
              </w:rPr>
            </w:pPr>
            <w:r>
              <w:rPr>
                <w:rFonts w:hint="eastAsia" w:ascii="仿宋" w:hAnsi="仿宋" w:eastAsia="仿宋" w:cs="仿宋"/>
                <w:b w:val="0"/>
                <w:kern w:val="2"/>
                <w:sz w:val="28"/>
                <w:szCs w:val="28"/>
                <w:highlight w:val="none"/>
                <w:lang w:val="en-US" w:eastAsia="zh-CN" w:bidi="ar-SA"/>
              </w:rPr>
              <w:t>已完工</w:t>
            </w:r>
          </w:p>
        </w:tc>
      </w:tr>
    </w:tbl>
    <w:p>
      <w:pPr>
        <w:keepNext/>
        <w:keepLines/>
        <w:pageBreakBefore w:val="0"/>
        <w:widowControl w:val="0"/>
        <w:numPr>
          <w:ilvl w:val="0"/>
          <w:numId w:val="0"/>
        </w:numPr>
        <w:kinsoku/>
        <w:wordWrap/>
        <w:overflowPunct/>
        <w:topLinePunct w:val="0"/>
        <w:autoSpaceDE/>
        <w:autoSpaceDN/>
        <w:bidi w:val="0"/>
        <w:adjustRightInd/>
        <w:snapToGrid/>
        <w:spacing w:before="0" w:after="0" w:line="576" w:lineRule="exact"/>
        <w:ind w:firstLine="640" w:firstLineChars="200"/>
        <w:textAlignment w:val="auto"/>
        <w:outlineLvl w:val="9"/>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③完工收尾阶段</w:t>
      </w:r>
    </w:p>
    <w:p>
      <w:pPr>
        <w:pStyle w:val="5"/>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default"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截至2025年12月31日，该建设项目已完工，已组织项目整体竣工验收工作。</w:t>
      </w:r>
    </w:p>
    <w:p>
      <w:pPr>
        <w:pStyle w:val="5"/>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default"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3.资金投入和使用情况</w:t>
      </w:r>
    </w:p>
    <w:p>
      <w:pPr>
        <w:pStyle w:val="5"/>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default" w:ascii="仿宋_GB2312" w:hAnsi="宋体" w:eastAsia="仿宋_GB2312" w:cs="仿宋_GB2312"/>
          <w:b w:val="0"/>
          <w:color w:val="auto"/>
          <w:kern w:val="2"/>
          <w:sz w:val="32"/>
          <w:szCs w:val="32"/>
          <w:highlight w:val="none"/>
          <w:lang w:val="en-US" w:eastAsia="zh-CN" w:bidi="ar-SA"/>
        </w:rPr>
      </w:pPr>
      <w:bookmarkStart w:id="2" w:name="_Toc13976"/>
      <w:r>
        <w:rPr>
          <w:rFonts w:hint="eastAsia" w:ascii="仿宋_GB2312" w:hAnsi="宋体" w:eastAsia="仿宋_GB2312" w:cs="仿宋_GB2312"/>
          <w:b w:val="0"/>
          <w:color w:val="auto"/>
          <w:kern w:val="2"/>
          <w:sz w:val="32"/>
          <w:szCs w:val="32"/>
          <w:highlight w:val="none"/>
          <w:lang w:val="en-US" w:eastAsia="zh-CN" w:bidi="ar-SA"/>
        </w:rPr>
        <w:t>根据《关于拨付南昌市社会福利院服务对象生活区提升改造进度款的复函》（洪府办字〔2025〕38号），已下达2025年市级重大重点资金500万元；根据《关于拨付南昌市社会福利院服务对象生活区提升改造项目工程结算尾款的复函》（洪府办字〔2025〕584号），已下达2025年市级重大重点资金2416.73万元。截至2025年12月31日，本年度共下达相关资金2916.73万元，已支付完毕，预算执行率为100%。</w:t>
      </w:r>
    </w:p>
    <w:p>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outlineLvl w:val="1"/>
        <w:rPr>
          <w:rFonts w:hint="eastAsia" w:ascii="楷体_GB2312" w:hAnsi="楷体_GB2312" w:eastAsia="楷体_GB2312" w:cs="楷体_GB2312"/>
          <w:b/>
          <w:color w:val="000000"/>
          <w:kern w:val="2"/>
          <w:sz w:val="32"/>
          <w:szCs w:val="32"/>
          <w:highlight w:val="none"/>
          <w:lang w:val="en-US" w:eastAsia="zh-CN" w:bidi="ar-SA"/>
        </w:rPr>
      </w:pPr>
      <w:r>
        <w:rPr>
          <w:rFonts w:hint="eastAsia" w:ascii="楷体_GB2312" w:hAnsi="楷体_GB2312" w:eastAsia="楷体_GB2312" w:cs="楷体_GB2312"/>
          <w:b/>
          <w:color w:val="000000"/>
          <w:kern w:val="2"/>
          <w:sz w:val="32"/>
          <w:szCs w:val="32"/>
          <w:highlight w:val="none"/>
          <w:lang w:val="en-US" w:eastAsia="zh-CN" w:bidi="ar-SA"/>
        </w:rPr>
        <w:t>（二）项目绩效目标</w:t>
      </w:r>
      <w:bookmarkEnd w:id="2"/>
    </w:p>
    <w:p>
      <w:pPr>
        <w:pStyle w:val="5"/>
        <w:keepNext w:val="0"/>
        <w:keepLines w:val="0"/>
        <w:pageBreakBefore w:val="0"/>
        <w:widowControl w:val="0"/>
        <w:kinsoku/>
        <w:wordWrap/>
        <w:overflowPunct/>
        <w:topLinePunct w:val="0"/>
        <w:autoSpaceDE/>
        <w:autoSpaceDN/>
        <w:bidi w:val="0"/>
        <w:adjustRightInd/>
        <w:snapToGrid/>
        <w:spacing w:line="360" w:lineRule="auto"/>
        <w:ind w:firstLine="641" w:firstLineChars="200"/>
        <w:jc w:val="both"/>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1.总体目标</w:t>
      </w:r>
    </w:p>
    <w:p>
      <w:pPr>
        <w:pStyle w:val="5"/>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eastAsia"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通过对服务对象生活区进行拆除重建，为孤老残幼提供更舒适的生活环境，极大的改善院服务对象生活条件，满足日益增多的服务对象的需求，使福利院布局更加合理，功能分区明显，适应新形势下社会福利事业发展。</w:t>
      </w:r>
    </w:p>
    <w:p>
      <w:pPr>
        <w:pStyle w:val="5"/>
        <w:keepNext w:val="0"/>
        <w:keepLines w:val="0"/>
        <w:pageBreakBefore w:val="0"/>
        <w:widowControl w:val="0"/>
        <w:kinsoku/>
        <w:wordWrap/>
        <w:overflowPunct/>
        <w:topLinePunct w:val="0"/>
        <w:autoSpaceDE/>
        <w:autoSpaceDN/>
        <w:bidi w:val="0"/>
        <w:adjustRightInd/>
        <w:snapToGrid/>
        <w:spacing w:line="360" w:lineRule="auto"/>
        <w:ind w:firstLine="641" w:firstLineChars="200"/>
        <w:jc w:val="both"/>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2.阶段性目标</w:t>
      </w:r>
    </w:p>
    <w:p>
      <w:pPr>
        <w:pStyle w:val="9"/>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（1）地面防滑砖铺设完成率：100%；</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（2）地下室桥架长度完成率：100%；</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（3）养育楼配电箱购置完成率：100%；</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（4）成本控制在年度预算2916.73万以内。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olor w:val="000000"/>
          <w:sz w:val="32"/>
          <w:szCs w:val="32"/>
          <w:lang w:val="en-US" w:eastAsia="zh-CN"/>
        </w:rPr>
      </w:pPr>
      <w:bookmarkStart w:id="3" w:name="_Toc5206"/>
      <w:r>
        <w:rPr>
          <w:rFonts w:hint="eastAsia" w:ascii="黑体" w:hAnsi="黑体" w:eastAsia="黑体"/>
          <w:color w:val="000000"/>
          <w:sz w:val="32"/>
          <w:szCs w:val="32"/>
          <w:lang w:val="en-US" w:eastAsia="zh-CN"/>
        </w:rPr>
        <w:t>二、绩效评价工作开展情况</w:t>
      </w:r>
      <w:bookmarkEnd w:id="3"/>
    </w:p>
    <w:p>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outlineLvl w:val="1"/>
        <w:rPr>
          <w:rFonts w:hint="eastAsia" w:ascii="楷体_GB2312" w:hAnsi="楷体_GB2312" w:eastAsia="楷体_GB2312" w:cs="楷体_GB2312"/>
          <w:b/>
          <w:color w:val="000000"/>
          <w:kern w:val="2"/>
          <w:sz w:val="32"/>
          <w:szCs w:val="32"/>
          <w:lang w:val="en-US" w:eastAsia="zh-CN" w:bidi="ar-SA"/>
        </w:rPr>
      </w:pPr>
      <w:bookmarkStart w:id="4" w:name="_Toc24679"/>
      <w:r>
        <w:rPr>
          <w:rFonts w:hint="eastAsia" w:ascii="楷体_GB2312" w:hAnsi="楷体_GB2312" w:eastAsia="楷体_GB2312" w:cs="楷体_GB2312"/>
          <w:b/>
          <w:color w:val="000000"/>
          <w:kern w:val="2"/>
          <w:sz w:val="32"/>
          <w:szCs w:val="32"/>
          <w:lang w:val="en-US" w:eastAsia="zh-CN" w:bidi="ar-SA"/>
        </w:rPr>
        <w:t>（一）绩效评价目的、对象和范围</w:t>
      </w:r>
      <w:bookmarkEnd w:id="4"/>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outlineLvl w:val="9"/>
        <w:rPr>
          <w:rFonts w:hint="eastAsia" w:ascii="仿宋_GB2312" w:hAnsi="宋体" w:eastAsia="仿宋_GB2312" w:cs="仿宋_GB2312"/>
          <w:b/>
          <w:bCs/>
          <w:sz w:val="32"/>
          <w:szCs w:val="32"/>
          <w:lang w:val="en-US" w:eastAsia="zh-CN"/>
        </w:rPr>
      </w:pPr>
      <w:bookmarkStart w:id="5" w:name="_Toc32155"/>
      <w:bookmarkStart w:id="6" w:name="_Toc13987"/>
      <w:bookmarkStart w:id="7" w:name="_Toc28049"/>
      <w:bookmarkStart w:id="8" w:name="_Toc29148"/>
      <w:bookmarkStart w:id="9" w:name="_Toc17404"/>
      <w:r>
        <w:rPr>
          <w:rFonts w:hint="eastAsia" w:ascii="仿宋_GB2312" w:hAnsi="宋体" w:eastAsia="仿宋_GB2312" w:cs="仿宋_GB2312"/>
          <w:b/>
          <w:bCs/>
          <w:sz w:val="32"/>
          <w:szCs w:val="32"/>
          <w:lang w:val="en-US" w:eastAsia="zh-CN"/>
        </w:rPr>
        <w:t>1.评价目的</w:t>
      </w:r>
      <w:bookmarkEnd w:id="5"/>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宋体" w:eastAsia="仿宋_GB2312" w:cs="仿宋_GB2312"/>
          <w:sz w:val="32"/>
          <w:szCs w:val="32"/>
        </w:rPr>
      </w:pPr>
      <w:r>
        <w:rPr>
          <w:rFonts w:hint="eastAsia" w:ascii="仿宋_GB2312" w:hAnsi="宋体" w:eastAsia="仿宋_GB2312" w:cs="仿宋_GB2312"/>
          <w:sz w:val="32"/>
          <w:szCs w:val="32"/>
        </w:rPr>
        <w:t>财政支出项目绩效评价旨在通过评价改善财政资金支出管理，优化资源配置及提高公共服务水平。本次评价的主要目的是：围绕项目决策、项目过程、项目产出及项目效益四个方面开展绩效评价工作，综合反映项目支出成效，梳理项目存在的问题并提出建议，为主管部门今后的同类型项目积累经验，同时，强化项目单位预算绩效管理</w:t>
      </w:r>
      <w:r>
        <w:rPr>
          <w:rFonts w:hint="eastAsia" w:ascii="仿宋_GB2312" w:hAnsi="宋体" w:eastAsia="仿宋_GB2312" w:cs="仿宋_GB2312"/>
          <w:sz w:val="32"/>
          <w:szCs w:val="32"/>
          <w:lang w:val="en-US" w:eastAsia="zh-CN"/>
        </w:rPr>
        <w:t>理</w:t>
      </w:r>
      <w:r>
        <w:rPr>
          <w:rFonts w:hint="eastAsia" w:ascii="仿宋_GB2312" w:hAnsi="宋体" w:eastAsia="仿宋_GB2312" w:cs="仿宋_GB2312"/>
          <w:sz w:val="32"/>
          <w:szCs w:val="32"/>
        </w:rPr>
        <w:t>念，提高财政资金的使用效率。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textAlignment w:val="auto"/>
        <w:outlineLvl w:val="9"/>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b/>
          <w:bCs/>
          <w:kern w:val="2"/>
          <w:sz w:val="32"/>
          <w:szCs w:val="32"/>
          <w:lang w:val="en-US" w:eastAsia="zh-CN" w:bidi="ar-SA"/>
        </w:rPr>
        <w:t>2.评价对象和范围</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kern w:val="2"/>
          <w:sz w:val="32"/>
          <w:szCs w:val="32"/>
          <w:highlight w:val="yellow"/>
          <w:lang w:val="en-US" w:eastAsia="zh-CN" w:bidi="ar-SA"/>
        </w:rPr>
      </w:pPr>
      <w:r>
        <w:rPr>
          <w:rFonts w:hint="eastAsia" w:ascii="仿宋_GB2312" w:hAnsi="宋体" w:eastAsia="仿宋_GB2312" w:cs="仿宋_GB2312"/>
          <w:b w:val="0"/>
          <w:kern w:val="2"/>
          <w:sz w:val="32"/>
          <w:szCs w:val="32"/>
          <w:lang w:val="en-US" w:eastAsia="zh-CN" w:bidi="ar-SA"/>
        </w:rPr>
        <w:t>本次绩效评价对象为市福利院服务对象生活区提升改造</w:t>
      </w:r>
      <w:r>
        <w:rPr>
          <w:rFonts w:hint="eastAsia" w:ascii="仿宋_GB2312" w:hAnsi="宋体" w:eastAsia="仿宋_GB2312" w:cs="仿宋_GB2312"/>
          <w:b w:val="0"/>
          <w:kern w:val="2"/>
          <w:sz w:val="32"/>
          <w:szCs w:val="32"/>
          <w:highlight w:val="none"/>
          <w:lang w:val="en-US" w:eastAsia="zh-CN" w:bidi="ar-SA"/>
        </w:rPr>
        <w:t>项目，评价范围是该项目2025年度财政预算资金2916.73万元。</w:t>
      </w:r>
    </w:p>
    <w:p>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outlineLvl w:val="1"/>
        <w:rPr>
          <w:rFonts w:hint="eastAsia" w:ascii="楷体_GB2312" w:hAnsi="楷体_GB2312" w:eastAsia="楷体_GB2312" w:cs="楷体_GB2312"/>
          <w:b/>
          <w:color w:val="000000"/>
          <w:kern w:val="2"/>
          <w:sz w:val="32"/>
          <w:szCs w:val="32"/>
          <w:lang w:val="en-US" w:eastAsia="zh-CN" w:bidi="ar-SA"/>
        </w:rPr>
      </w:pPr>
      <w:bookmarkStart w:id="10" w:name="_Toc7047"/>
      <w:r>
        <w:rPr>
          <w:rFonts w:hint="eastAsia" w:ascii="楷体_GB2312" w:hAnsi="楷体_GB2312" w:eastAsia="楷体_GB2312" w:cs="楷体_GB2312"/>
          <w:b/>
          <w:color w:val="000000"/>
          <w:kern w:val="2"/>
          <w:sz w:val="32"/>
          <w:szCs w:val="32"/>
          <w:lang w:val="en-US" w:eastAsia="zh-CN" w:bidi="ar-SA"/>
        </w:rPr>
        <w:t>（二）绩效评价原则、评价指标体系（附表说明）、评价方法、评价标准等</w:t>
      </w:r>
      <w:bookmarkEnd w:id="10"/>
    </w:p>
    <w:p>
      <w:pPr>
        <w:keepNext w:val="0"/>
        <w:keepLines w:val="0"/>
        <w:pageBreakBefore w:val="0"/>
        <w:widowControl w:val="0"/>
        <w:kinsoku/>
        <w:wordWrap/>
        <w:overflowPunct/>
        <w:topLinePunct w:val="0"/>
        <w:autoSpaceDE/>
        <w:autoSpaceDN/>
        <w:bidi w:val="0"/>
        <w:adjustRightInd/>
        <w:snapToGrid/>
        <w:ind w:firstLine="641" w:firstLineChars="200"/>
        <w:textAlignment w:val="auto"/>
        <w:outlineLvl w:val="9"/>
        <w:rPr>
          <w:rFonts w:hint="eastAsia" w:ascii="仿宋_GB2312" w:hAnsi="宋体" w:eastAsia="仿宋_GB2312" w:cs="仿宋_GB2312"/>
          <w:b/>
          <w:bCs/>
          <w:sz w:val="32"/>
          <w:szCs w:val="32"/>
        </w:rPr>
      </w:pPr>
      <w:r>
        <w:rPr>
          <w:rFonts w:hint="eastAsia" w:ascii="仿宋_GB2312" w:hAnsi="宋体" w:eastAsia="仿宋_GB2312" w:cs="仿宋_GB2312"/>
          <w:b/>
          <w:bCs/>
          <w:sz w:val="32"/>
          <w:szCs w:val="32"/>
        </w:rPr>
        <w:t>1.绩效评价的原则</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s="仿宋_GB2312"/>
          <w:sz w:val="32"/>
          <w:szCs w:val="32"/>
        </w:rPr>
      </w:pPr>
      <w:bookmarkStart w:id="11" w:name="_Toc13333"/>
      <w:bookmarkStart w:id="12" w:name="_Toc14312"/>
      <w:bookmarkStart w:id="13" w:name="_Toc7843"/>
      <w:bookmarkStart w:id="14" w:name="_Toc18956"/>
      <w:bookmarkStart w:id="15" w:name="_Toc11042"/>
      <w:r>
        <w:rPr>
          <w:rFonts w:hint="eastAsia" w:ascii="仿宋_GB2312" w:hAnsi="宋体" w:eastAsia="仿宋_GB2312" w:cs="仿宋_GB2312"/>
          <w:sz w:val="32"/>
          <w:szCs w:val="32"/>
        </w:rPr>
        <w:t>（1）科学规范原则。本次绩效评价工作按照科学可行的原则，采取定量分析与定性分析相结合的评价方法，评价机构设计绩效评价工作方案并组织实施绩效评价。</w:t>
      </w:r>
      <w:bookmarkEnd w:id="11"/>
      <w:bookmarkEnd w:id="12"/>
      <w:bookmarkEnd w:id="13"/>
      <w:bookmarkEnd w:id="14"/>
      <w:bookmarkEnd w:id="15"/>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s="仿宋_GB2312"/>
          <w:sz w:val="32"/>
          <w:szCs w:val="32"/>
        </w:rPr>
      </w:pPr>
      <w:bookmarkStart w:id="16" w:name="_Toc32211"/>
      <w:bookmarkStart w:id="17" w:name="_Toc26396"/>
      <w:bookmarkStart w:id="18" w:name="_Toc10292"/>
      <w:bookmarkStart w:id="19" w:name="_Toc1249"/>
      <w:bookmarkStart w:id="20" w:name="_Toc8941"/>
      <w:r>
        <w:rPr>
          <w:rFonts w:hint="eastAsia" w:ascii="仿宋_GB2312" w:hAnsi="宋体" w:eastAsia="仿宋_GB2312" w:cs="仿宋_GB2312"/>
          <w:sz w:val="32"/>
          <w:szCs w:val="32"/>
        </w:rPr>
        <w:t>（2）独立公正原则。</w:t>
      </w:r>
      <w:bookmarkEnd w:id="16"/>
      <w:bookmarkEnd w:id="17"/>
      <w:bookmarkEnd w:id="18"/>
      <w:bookmarkEnd w:id="19"/>
      <w:bookmarkEnd w:id="20"/>
      <w:r>
        <w:rPr>
          <w:rFonts w:hint="eastAsia" w:ascii="仿宋_GB2312" w:hAnsi="宋体" w:eastAsia="仿宋_GB2312" w:cs="仿宋_GB2312"/>
          <w:b w:val="0"/>
          <w:kern w:val="2"/>
          <w:sz w:val="32"/>
          <w:szCs w:val="32"/>
          <w:lang w:val="en-US" w:eastAsia="zh-CN" w:bidi="ar-SA"/>
        </w:rPr>
        <w:t>绩效工作小组以真实、客观、公正的要求完成本次绩效评价工作，并接受相关部门监督。</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s="仿宋_GB2312"/>
          <w:sz w:val="32"/>
          <w:szCs w:val="32"/>
        </w:rPr>
      </w:pPr>
      <w:bookmarkStart w:id="21" w:name="_Toc7381"/>
      <w:bookmarkStart w:id="22" w:name="_Toc27162"/>
      <w:bookmarkStart w:id="23" w:name="_Toc3240"/>
      <w:bookmarkStart w:id="24" w:name="_Toc29968"/>
      <w:bookmarkStart w:id="25" w:name="_Toc26265"/>
      <w:r>
        <w:rPr>
          <w:rFonts w:hint="eastAsia" w:ascii="仿宋_GB2312" w:hAnsi="宋体" w:eastAsia="仿宋_GB2312" w:cs="仿宋_GB2312"/>
          <w:sz w:val="32"/>
          <w:szCs w:val="32"/>
        </w:rPr>
        <w:t>（3）绩效相关原则。本次绩效评价工作重点对该项目财政支出及其产出绩效进行评价，评价结果反映项目支出与产出绩效之间的紧密对应关系。在以评“绩效”为主的情况下，适当延伸至项目的决策与过程管理。</w:t>
      </w:r>
      <w:bookmarkEnd w:id="21"/>
      <w:bookmarkEnd w:id="22"/>
      <w:bookmarkEnd w:id="23"/>
      <w:bookmarkEnd w:id="24"/>
      <w:bookmarkEnd w:id="25"/>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outlineLvl w:val="9"/>
        <w:rPr>
          <w:rFonts w:hint="eastAsia" w:ascii="仿宋_GB2312" w:hAnsi="宋体" w:eastAsia="仿宋_GB2312" w:cs="仿宋_GB2312"/>
          <w:b/>
          <w:bCs/>
          <w:kern w:val="2"/>
          <w:sz w:val="32"/>
          <w:szCs w:val="32"/>
          <w:lang w:val="en-US" w:eastAsia="zh-CN" w:bidi="ar-SA"/>
        </w:rPr>
      </w:pPr>
      <w:r>
        <w:rPr>
          <w:rFonts w:hint="eastAsia" w:ascii="仿宋_GB2312" w:hAnsi="宋体" w:eastAsia="仿宋_GB2312" w:cs="仿宋_GB2312"/>
          <w:b/>
          <w:bCs/>
          <w:kern w:val="2"/>
          <w:sz w:val="32"/>
          <w:szCs w:val="32"/>
          <w:lang w:val="en-US" w:eastAsia="zh-CN" w:bidi="ar-SA"/>
        </w:rPr>
        <w:t>2.评价指标体系</w:t>
      </w:r>
    </w:p>
    <w:p>
      <w:pPr>
        <w:pStyle w:val="5"/>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s="仿宋_GB2312"/>
          <w:b w:val="0"/>
          <w:sz w:val="32"/>
          <w:szCs w:val="32"/>
          <w:lang w:eastAsia="zh-CN"/>
        </w:rPr>
      </w:pPr>
      <w:r>
        <w:rPr>
          <w:rFonts w:hint="eastAsia" w:ascii="仿宋_GB2312" w:hAnsi="宋体" w:eastAsia="仿宋_GB2312" w:cs="仿宋_GB2312"/>
          <w:b w:val="0"/>
          <w:sz w:val="32"/>
          <w:szCs w:val="32"/>
        </w:rPr>
        <w:t>评价指标体系根据绩效评价的基本原理、原则和项目特点，结合</w:t>
      </w:r>
      <w:r>
        <w:rPr>
          <w:rFonts w:hint="eastAsia" w:ascii="仿宋_GB2312" w:hAnsi="宋体" w:eastAsia="仿宋_GB2312" w:cs="仿宋_GB2312"/>
          <w:b w:val="0"/>
          <w:sz w:val="32"/>
          <w:szCs w:val="32"/>
          <w:lang w:eastAsia="zh-CN"/>
        </w:rPr>
        <w:t>南昌市财政局关于开展202</w:t>
      </w:r>
      <w:r>
        <w:rPr>
          <w:rFonts w:hint="eastAsia" w:ascii="仿宋_GB2312" w:hAnsi="宋体" w:eastAsia="仿宋_GB2312" w:cs="仿宋_GB2312"/>
          <w:b w:val="0"/>
          <w:sz w:val="32"/>
          <w:szCs w:val="32"/>
          <w:lang w:val="en-US" w:eastAsia="zh-CN"/>
        </w:rPr>
        <w:t>5</w:t>
      </w:r>
      <w:r>
        <w:rPr>
          <w:rFonts w:hint="eastAsia" w:ascii="仿宋_GB2312" w:hAnsi="宋体" w:eastAsia="仿宋_GB2312" w:cs="仿宋_GB2312"/>
          <w:b w:val="0"/>
          <w:sz w:val="32"/>
          <w:szCs w:val="32"/>
          <w:lang w:eastAsia="zh-CN"/>
        </w:rPr>
        <w:t>年度全市预算单位自评及部门评价工作的</w:t>
      </w:r>
      <w:r>
        <w:rPr>
          <w:rFonts w:hint="eastAsia" w:ascii="仿宋_GB2312" w:hAnsi="宋体" w:eastAsia="仿宋_GB2312" w:cs="仿宋_GB2312"/>
          <w:b w:val="0"/>
          <w:sz w:val="32"/>
          <w:szCs w:val="32"/>
        </w:rPr>
        <w:t>有关要求设置，包括决策、过程、产出及效益等内容，项目评价</w:t>
      </w:r>
      <w:r>
        <w:rPr>
          <w:rFonts w:hint="eastAsia" w:ascii="仿宋_GB2312" w:hAnsi="宋体" w:eastAsia="仿宋_GB2312" w:cs="仿宋_GB2312"/>
          <w:b w:val="0"/>
          <w:sz w:val="32"/>
          <w:szCs w:val="32"/>
          <w:lang w:eastAsia="zh-CN"/>
        </w:rPr>
        <w:t>指标体系详见（</w:t>
      </w:r>
      <w:r>
        <w:rPr>
          <w:rFonts w:hint="eastAsia" w:ascii="仿宋_GB2312" w:hAnsi="宋体" w:eastAsia="仿宋_GB2312" w:cs="仿宋_GB2312"/>
          <w:b w:val="0"/>
          <w:sz w:val="32"/>
          <w:szCs w:val="32"/>
          <w:lang w:val="en-US" w:eastAsia="zh-CN"/>
        </w:rPr>
        <w:t>附件</w:t>
      </w:r>
      <w:r>
        <w:rPr>
          <w:rFonts w:hint="default" w:ascii="仿宋_GB2312" w:hAnsi="宋体" w:eastAsia="仿宋_GB2312" w:cs="仿宋_GB2312"/>
          <w:b w:val="0"/>
          <w:sz w:val="32"/>
          <w:szCs w:val="32"/>
          <w:lang w:eastAsia="zh-CN"/>
          <w:woUserID w:val="1"/>
        </w:rPr>
        <w:t>1</w:t>
      </w:r>
      <w:r>
        <w:rPr>
          <w:rFonts w:hint="eastAsia" w:ascii="仿宋_GB2312" w:hAnsi="宋体" w:eastAsia="仿宋_GB2312" w:cs="仿宋_GB2312"/>
          <w:b w:val="0"/>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ind w:firstLine="641" w:firstLineChars="200"/>
        <w:textAlignment w:val="auto"/>
        <w:outlineLvl w:val="9"/>
        <w:rPr>
          <w:rFonts w:hint="eastAsia" w:ascii="仿宋_GB2312" w:hAnsi="宋体" w:eastAsia="仿宋_GB2312" w:cs="仿宋_GB2312"/>
          <w:b/>
          <w:bCs/>
          <w:sz w:val="32"/>
          <w:szCs w:val="32"/>
          <w:lang w:eastAsia="zh-CN"/>
        </w:rPr>
      </w:pPr>
      <w:r>
        <w:rPr>
          <w:rFonts w:hint="eastAsia" w:ascii="仿宋_GB2312" w:hAnsi="宋体" w:eastAsia="仿宋_GB2312" w:cs="仿宋_GB2312"/>
          <w:b/>
          <w:bCs/>
          <w:sz w:val="32"/>
          <w:szCs w:val="32"/>
          <w:lang w:eastAsia="zh-CN"/>
        </w:rPr>
        <w:t>3.评价方法</w:t>
      </w:r>
    </w:p>
    <w:p>
      <w:pPr>
        <w:pStyle w:val="5"/>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s="仿宋_GB2312"/>
          <w:b w:val="0"/>
          <w:sz w:val="32"/>
          <w:szCs w:val="32"/>
        </w:rPr>
      </w:pPr>
      <w:r>
        <w:rPr>
          <w:rFonts w:hint="eastAsia" w:ascii="仿宋_GB2312" w:hAnsi="宋体" w:eastAsia="仿宋_GB2312" w:cs="仿宋_GB2312"/>
          <w:b w:val="0"/>
          <w:sz w:val="32"/>
          <w:szCs w:val="32"/>
        </w:rPr>
        <w:t>本次评价将通过文件资料研读、现场调研等方法对项目进行定性评价;通过基础数据统计分析等方法，对项目进行定量评价。在定性评价中，也须明确支撑评价结果的证明材料，尽量减少定性评价带有的主观随意性。</w:t>
      </w:r>
    </w:p>
    <w:p>
      <w:pPr>
        <w:pStyle w:val="5"/>
        <w:keepNext w:val="0"/>
        <w:keepLines w:val="0"/>
        <w:pageBreakBefore w:val="0"/>
        <w:widowControl w:val="0"/>
        <w:kinsoku/>
        <w:wordWrap/>
        <w:overflowPunct/>
        <w:topLinePunct w:val="0"/>
        <w:autoSpaceDE/>
        <w:autoSpaceDN/>
        <w:bidi w:val="0"/>
        <w:adjustRightInd/>
        <w:snapToGrid/>
        <w:ind w:firstLine="641" w:firstLineChars="200"/>
        <w:textAlignment w:val="auto"/>
        <w:outlineLvl w:val="9"/>
        <w:rPr>
          <w:rFonts w:ascii="仿宋_GB2312" w:hAnsi="宋体" w:eastAsia="仿宋_GB2312" w:cs="仿宋_GB2312"/>
          <w:b/>
          <w:bCs/>
          <w:sz w:val="32"/>
          <w:szCs w:val="32"/>
        </w:rPr>
      </w:pPr>
      <w:r>
        <w:rPr>
          <w:rFonts w:hint="eastAsia" w:ascii="仿宋_GB2312" w:hAnsi="宋体" w:eastAsia="仿宋_GB2312" w:cs="仿宋_GB2312"/>
          <w:b/>
          <w:bCs/>
          <w:sz w:val="32"/>
          <w:szCs w:val="32"/>
        </w:rPr>
        <w:t>4.</w:t>
      </w:r>
      <w:r>
        <w:rPr>
          <w:rFonts w:ascii="仿宋_GB2312" w:hAnsi="宋体" w:eastAsia="仿宋_GB2312" w:cs="仿宋_GB2312"/>
          <w:b/>
          <w:bCs/>
          <w:sz w:val="32"/>
          <w:szCs w:val="32"/>
        </w:rPr>
        <w:t>评价标准</w:t>
      </w:r>
    </w:p>
    <w:p>
      <w:pPr>
        <w:pStyle w:val="5"/>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ascii="仿宋_GB2312" w:hAnsi="宋体" w:eastAsia="仿宋_GB2312" w:cs="仿宋_GB2312"/>
          <w:b w:val="0"/>
          <w:sz w:val="32"/>
          <w:szCs w:val="32"/>
        </w:rPr>
      </w:pPr>
      <w:r>
        <w:rPr>
          <w:rFonts w:ascii="仿宋_GB2312" w:hAnsi="宋体" w:eastAsia="仿宋_GB2312" w:cs="仿宋_GB2312"/>
          <w:b w:val="0"/>
          <w:sz w:val="32"/>
          <w:szCs w:val="32"/>
        </w:rPr>
        <w:t>绩效评价标准是指衡量财政支出绩效目标完成程度的尺度，通常包括计划标准、行业标准、历史标准等，用于对绩效指标完成情况进行比较。</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outlineLvl w:val="1"/>
        <w:rPr>
          <w:rFonts w:hint="eastAsia" w:ascii="楷体_GB2312" w:hAnsi="楷体_GB2312" w:eastAsia="楷体_GB2312" w:cs="楷体_GB2312"/>
          <w:b/>
          <w:color w:val="000000"/>
          <w:kern w:val="2"/>
          <w:sz w:val="32"/>
          <w:szCs w:val="32"/>
          <w:lang w:val="en-US" w:eastAsia="zh-CN" w:bidi="ar-SA"/>
        </w:rPr>
      </w:pPr>
      <w:bookmarkStart w:id="26" w:name="_Toc24225"/>
      <w:r>
        <w:rPr>
          <w:rFonts w:hint="eastAsia" w:ascii="楷体_GB2312" w:hAnsi="楷体_GB2312" w:eastAsia="楷体_GB2312" w:cs="楷体_GB2312"/>
          <w:b/>
          <w:color w:val="000000"/>
          <w:kern w:val="2"/>
          <w:sz w:val="32"/>
          <w:szCs w:val="32"/>
          <w:lang w:val="en-US" w:eastAsia="zh-CN" w:bidi="ar-SA"/>
        </w:rPr>
        <w:t>（三）绩效评价工作过程</w:t>
      </w:r>
      <w:bookmarkEnd w:id="26"/>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楷体_GB2312" w:hAnsi="楷体_GB2312" w:eastAsia="楷体_GB2312" w:cs="楷体_GB2312"/>
          <w:b/>
          <w:color w:val="000000"/>
          <w:sz w:val="32"/>
          <w:szCs w:val="32"/>
        </w:rPr>
      </w:pPr>
      <w:r>
        <w:rPr>
          <w:rFonts w:hint="eastAsia" w:ascii="仿宋_GB2312" w:hAnsi="宋体" w:eastAsia="仿宋_GB2312" w:cs="仿宋_GB2312"/>
          <w:color w:val="000000"/>
          <w:sz w:val="32"/>
          <w:szCs w:val="32"/>
          <w:highlight w:val="none"/>
        </w:rPr>
        <w:t>根据绩效评价的原则和规范，在前期基础资料研究的基础上，对获取的项目数据</w:t>
      </w:r>
      <w:r>
        <w:rPr>
          <w:rFonts w:hint="eastAsia" w:ascii="仿宋_GB2312" w:hAnsi="宋体" w:eastAsia="仿宋_GB2312" w:cs="仿宋_GB2312"/>
          <w:color w:val="000000"/>
          <w:sz w:val="32"/>
          <w:szCs w:val="32"/>
        </w:rPr>
        <w:t>和信息进行归纳、总结和分析，结合制定的绩效评价指标体系对项目进行评分，并在此基础上提炼结论撰写绩效评价报告。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olor w:val="000000"/>
          <w:sz w:val="32"/>
          <w:szCs w:val="32"/>
          <w:lang w:val="en-US" w:eastAsia="zh-CN"/>
        </w:rPr>
      </w:pPr>
      <w:bookmarkStart w:id="27" w:name="_Toc148"/>
      <w:r>
        <w:rPr>
          <w:rFonts w:hint="eastAsia" w:ascii="黑体" w:hAnsi="黑体" w:eastAsia="黑体"/>
          <w:color w:val="000000"/>
          <w:sz w:val="32"/>
          <w:szCs w:val="32"/>
          <w:lang w:val="en-US" w:eastAsia="zh-CN"/>
        </w:rPr>
        <w:t>三、</w:t>
      </w:r>
      <w:r>
        <w:rPr>
          <w:rFonts w:hint="eastAsia" w:ascii="黑体" w:hAnsi="黑体" w:eastAsia="黑体"/>
          <w:color w:val="000000"/>
          <w:sz w:val="32"/>
          <w:szCs w:val="32"/>
        </w:rPr>
        <w:t>综合评价情况及评价结论</w:t>
      </w:r>
      <w:bookmarkEnd w:id="27"/>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lang w:val="en-US" w:eastAsia="zh-CN"/>
        </w:rPr>
      </w:pPr>
      <w:r>
        <w:rPr>
          <w:rFonts w:hint="eastAsia" w:ascii="仿宋_GB2312" w:hAnsi="宋体" w:eastAsia="仿宋_GB2312" w:cs="仿宋_GB2312"/>
          <w:b w:val="0"/>
          <w:kern w:val="2"/>
          <w:sz w:val="32"/>
          <w:szCs w:val="32"/>
          <w:lang w:val="en-US" w:eastAsia="zh-CN" w:bidi="ar-SA"/>
        </w:rPr>
        <w:t>该项目绩效评价采用定性评价和定量评价相结合的方法，总分值为100分。本次绩效评价结果分为四档：</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综合得分在90-100分（含90分）为优；</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综合得分在80-90分（含80分）为良；</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综合得分在60-80分（含60分）为中；</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综合得分在60分以下为差。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b w:val="0"/>
          <w:kern w:val="2"/>
          <w:sz w:val="32"/>
          <w:szCs w:val="32"/>
          <w:lang w:val="en-US" w:eastAsia="zh-CN" w:bidi="ar-SA"/>
        </w:rPr>
        <w:t>从项目决策、项目过程、项目产出和项目效益四个维度，通过数据采集</w:t>
      </w:r>
      <w:r>
        <w:rPr>
          <w:rFonts w:hint="eastAsia" w:ascii="仿宋_GB2312" w:hAnsi="宋体" w:eastAsia="仿宋_GB2312" w:cs="仿宋_GB2312"/>
          <w:b w:val="0"/>
          <w:kern w:val="2"/>
          <w:sz w:val="32"/>
          <w:szCs w:val="32"/>
          <w:highlight w:val="none"/>
          <w:lang w:val="en-US" w:eastAsia="zh-CN" w:bidi="ar-SA"/>
        </w:rPr>
        <w:t>、实地调研和问卷访谈等方式，对该项目进行了客观公正评</w:t>
      </w:r>
      <w:r>
        <w:rPr>
          <w:rFonts w:hint="eastAsia" w:ascii="仿宋_GB2312" w:hAnsi="宋体" w:eastAsia="仿宋_GB2312" w:cs="仿宋_GB2312"/>
          <w:b w:val="0"/>
          <w:color w:val="auto"/>
          <w:kern w:val="2"/>
          <w:sz w:val="32"/>
          <w:szCs w:val="32"/>
          <w:highlight w:val="none"/>
          <w:lang w:val="en-US" w:eastAsia="zh-CN" w:bidi="ar-SA"/>
        </w:rPr>
        <w:t>价，本项目总体得分为96分，绩效评级属于“优”。根据对决策、过程、产出、效益指标评分标准，4项指标得分分别为18分、17分、44分、17分</w:t>
      </w:r>
      <w:r>
        <w:rPr>
          <w:rFonts w:hint="eastAsia" w:ascii="仿宋_GB2312" w:hAnsi="宋体" w:eastAsia="仿宋_GB2312" w:cs="仿宋_GB2312"/>
          <w:color w:val="auto"/>
          <w:sz w:val="32"/>
          <w:szCs w:val="32"/>
          <w:highlight w:val="none"/>
        </w:rPr>
        <w:t>，</w:t>
      </w:r>
      <w:r>
        <w:rPr>
          <w:rFonts w:hint="eastAsia" w:ascii="仿宋_GB2312" w:hAnsi="宋体" w:eastAsia="仿宋_GB2312" w:cs="仿宋_GB2312"/>
          <w:color w:val="auto"/>
          <w:sz w:val="32"/>
          <w:szCs w:val="32"/>
          <w:highlight w:val="none"/>
          <w:lang w:val="en-US" w:eastAsia="zh-CN"/>
        </w:rPr>
        <w:t>各项指标评分情况如下表所示：</w:t>
      </w:r>
    </w:p>
    <w:p>
      <w:pPr>
        <w:pStyle w:val="5"/>
        <w:keepNext w:val="0"/>
        <w:keepLines w:val="0"/>
        <w:pageBreakBefore w:val="0"/>
        <w:kinsoku/>
        <w:wordWrap/>
        <w:overflowPunct/>
        <w:topLinePunct w:val="0"/>
        <w:autoSpaceDE/>
        <w:autoSpaceDN/>
        <w:bidi w:val="0"/>
        <w:adjustRightInd/>
        <w:snapToGrid/>
        <w:jc w:val="center"/>
        <w:outlineLvl w:val="9"/>
        <w:rPr>
          <w:rFonts w:hint="default" w:eastAsia="宋体"/>
          <w:sz w:val="32"/>
          <w:szCs w:val="28"/>
          <w:highlight w:val="none"/>
          <w:lang w:val="en-US" w:eastAsia="zh-CN"/>
        </w:rPr>
      </w:pPr>
      <w:r>
        <w:rPr>
          <w:rFonts w:hint="eastAsia"/>
          <w:sz w:val="32"/>
          <w:szCs w:val="28"/>
          <w:highlight w:val="none"/>
          <w:lang w:eastAsia="zh-CN"/>
        </w:rPr>
        <w:t>市福利院服务对象生活区提升改造项目</w:t>
      </w:r>
      <w:r>
        <w:rPr>
          <w:rFonts w:hint="eastAsia"/>
          <w:sz w:val="32"/>
          <w:szCs w:val="28"/>
          <w:highlight w:val="none"/>
          <w:lang w:val="en-US" w:eastAsia="zh-CN"/>
        </w:rPr>
        <w:t>绩效得分情况表</w:t>
      </w:r>
    </w:p>
    <w:tbl>
      <w:tblPr>
        <w:tblStyle w:val="11"/>
        <w:tblW w:w="842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1"/>
        <w:gridCol w:w="1380"/>
        <w:gridCol w:w="1576"/>
        <w:gridCol w:w="1673"/>
        <w:gridCol w:w="1394"/>
        <w:gridCol w:w="13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3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bookmarkStart w:id="28" w:name="_Toc16105"/>
            <w:r>
              <w:rPr>
                <w:rFonts w:hint="eastAsia" w:ascii="仿宋" w:hAnsi="仿宋" w:eastAsia="仿宋" w:cs="仿宋"/>
                <w:b/>
                <w:bCs/>
                <w:i w:val="0"/>
                <w:iCs w:val="0"/>
                <w:color w:val="auto"/>
                <w:kern w:val="0"/>
                <w:sz w:val="28"/>
                <w:szCs w:val="28"/>
                <w:highlight w:val="none"/>
                <w:u w:val="none"/>
                <w:lang w:val="en-US" w:eastAsia="zh-CN" w:bidi="ar"/>
              </w:rPr>
              <w:t>指标</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0"/>
                <w:sz w:val="28"/>
                <w:szCs w:val="28"/>
                <w:highlight w:val="none"/>
                <w:u w:val="none"/>
                <w:lang w:val="en-US" w:eastAsia="zh-CN" w:bidi="ar"/>
              </w:rPr>
              <w:t>项目决策</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0"/>
                <w:sz w:val="28"/>
                <w:szCs w:val="28"/>
                <w:highlight w:val="none"/>
                <w:u w:val="none"/>
                <w:lang w:val="en-US" w:eastAsia="zh-CN" w:bidi="ar"/>
              </w:rPr>
              <w:t>项目过程</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0"/>
                <w:sz w:val="28"/>
                <w:szCs w:val="28"/>
                <w:highlight w:val="none"/>
                <w:u w:val="none"/>
                <w:lang w:val="en-US" w:eastAsia="zh-CN" w:bidi="ar"/>
              </w:rPr>
              <w:t>项目产出</w:t>
            </w: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0"/>
                <w:sz w:val="28"/>
                <w:szCs w:val="28"/>
                <w:highlight w:val="none"/>
                <w:u w:val="none"/>
                <w:lang w:val="en-US" w:eastAsia="zh-CN" w:bidi="ar"/>
              </w:rPr>
              <w:t>项目效益</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0"/>
                <w:sz w:val="28"/>
                <w:szCs w:val="28"/>
                <w:highlight w:val="none"/>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04" w:hRule="atLeast"/>
        </w:trPr>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权重</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19</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21</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44</w:t>
            </w: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16</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04" w:hRule="atLeast"/>
        </w:trPr>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17</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21</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44</w:t>
            </w: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14</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28" w:hRule="atLeast"/>
        </w:trPr>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得分率</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89.47%</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100%</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100%</w:t>
            </w: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87.5%</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96%</w:t>
            </w: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s="黑体"/>
          <w:b w:val="0"/>
          <w:bCs/>
          <w:kern w:val="44"/>
          <w:sz w:val="36"/>
          <w:szCs w:val="36"/>
          <w:highlight w:val="none"/>
          <w:lang w:val="en-US" w:eastAsia="zh-CN" w:bidi="ar-SA"/>
        </w:rPr>
      </w:pPr>
      <w:r>
        <w:rPr>
          <w:rFonts w:hint="eastAsia" w:ascii="黑体" w:hAnsi="黑体" w:eastAsia="黑体"/>
          <w:color w:val="000000"/>
          <w:sz w:val="32"/>
          <w:szCs w:val="32"/>
          <w:highlight w:val="none"/>
        </w:rPr>
        <w:t>四、绩效评价指标分析</w:t>
      </w:r>
      <w:bookmarkEnd w:id="28"/>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textAlignment w:val="auto"/>
        <w:outlineLvl w:val="1"/>
        <w:rPr>
          <w:rFonts w:hint="eastAsia" w:ascii="楷体_GB2312" w:hAnsi="楷体_GB2312" w:eastAsia="楷体_GB2312" w:cs="楷体_GB2312"/>
          <w:b/>
          <w:color w:val="000000"/>
          <w:kern w:val="2"/>
          <w:sz w:val="32"/>
          <w:szCs w:val="32"/>
          <w:highlight w:val="none"/>
          <w:lang w:val="en-US" w:eastAsia="zh-CN" w:bidi="ar-SA"/>
        </w:rPr>
      </w:pPr>
      <w:bookmarkStart w:id="29" w:name="_Toc9615"/>
      <w:r>
        <w:rPr>
          <w:rFonts w:hint="eastAsia" w:ascii="楷体_GB2312" w:hAnsi="楷体_GB2312" w:eastAsia="楷体_GB2312" w:cs="楷体_GB2312"/>
          <w:b/>
          <w:color w:val="000000"/>
          <w:kern w:val="2"/>
          <w:sz w:val="32"/>
          <w:szCs w:val="32"/>
          <w:lang w:val="en-US" w:eastAsia="zh-CN" w:bidi="ar-SA"/>
        </w:rPr>
        <w:t>（一</w:t>
      </w:r>
      <w:r>
        <w:rPr>
          <w:rFonts w:hint="eastAsia" w:ascii="楷体_GB2312" w:hAnsi="楷体_GB2312" w:eastAsia="楷体_GB2312" w:cs="楷体_GB2312"/>
          <w:b/>
          <w:color w:val="000000"/>
          <w:kern w:val="2"/>
          <w:sz w:val="32"/>
          <w:szCs w:val="32"/>
          <w:highlight w:val="none"/>
          <w:lang w:val="en-US" w:eastAsia="zh-CN" w:bidi="ar-SA"/>
        </w:rPr>
        <w:t>）项目决策情况</w:t>
      </w:r>
      <w:bookmarkEnd w:id="29"/>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outlineLvl w:val="9"/>
        <w:rPr>
          <w:rFonts w:hint="eastAsia" w:ascii="仿宋_GB2312" w:hAnsi="宋体" w:eastAsia="仿宋_GB2312" w:cs="仿宋_GB2312"/>
          <w:b/>
          <w:bCs/>
          <w:kern w:val="2"/>
          <w:sz w:val="32"/>
          <w:szCs w:val="32"/>
          <w:highlight w:val="none"/>
          <w:lang w:val="en-US" w:eastAsia="zh-CN" w:bidi="ar-SA"/>
        </w:rPr>
      </w:pPr>
      <w:r>
        <w:rPr>
          <w:rFonts w:hint="eastAsia" w:ascii="仿宋_GB2312" w:hAnsi="宋体" w:eastAsia="仿宋_GB2312" w:cs="仿宋_GB2312"/>
          <w:b/>
          <w:bCs/>
          <w:kern w:val="2"/>
          <w:sz w:val="32"/>
          <w:szCs w:val="32"/>
          <w:highlight w:val="none"/>
          <w:lang w:val="en-US" w:eastAsia="zh-CN" w:bidi="ar-SA"/>
        </w:rPr>
        <w:t>1.项目立项</w:t>
      </w:r>
      <w:r>
        <w:rPr>
          <w:rFonts w:hint="eastAsia" w:ascii="仿宋_GB2312" w:hAnsi="宋体" w:eastAsia="仿宋_GB2312" w:cs="仿宋_GB2312"/>
          <w:b/>
          <w:bCs/>
          <w:sz w:val="32"/>
          <w:szCs w:val="32"/>
          <w:highlight w:val="none"/>
          <w:lang w:eastAsia="zh-CN"/>
        </w:rPr>
        <w:t>（权重</w:t>
      </w:r>
      <w:r>
        <w:rPr>
          <w:rFonts w:hint="eastAsia" w:ascii="仿宋_GB2312" w:hAnsi="宋体" w:eastAsia="仿宋_GB2312" w:cs="仿宋_GB2312"/>
          <w:b/>
          <w:bCs/>
          <w:sz w:val="32"/>
          <w:szCs w:val="32"/>
          <w:highlight w:val="none"/>
          <w:lang w:val="en-US" w:eastAsia="zh-CN"/>
        </w:rPr>
        <w:t>6分，得分6分</w:t>
      </w:r>
      <w:r>
        <w:rPr>
          <w:rFonts w:hint="eastAsia" w:ascii="仿宋_GB2312" w:hAnsi="宋体" w:eastAsia="仿宋_GB2312" w:cs="仿宋_GB2312"/>
          <w:b/>
          <w:bCs/>
          <w:sz w:val="32"/>
          <w:szCs w:val="32"/>
          <w:highlight w:val="none"/>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（1）立项依据充分性</w:t>
      </w:r>
      <w:r>
        <w:rPr>
          <w:rFonts w:hint="eastAsia" w:ascii="仿宋_GB2312" w:hAnsi="宋体" w:eastAsia="仿宋_GB2312" w:cs="仿宋_GB2312"/>
          <w:b w:val="0"/>
          <w:sz w:val="32"/>
          <w:szCs w:val="32"/>
          <w:highlight w:val="none"/>
          <w:lang w:eastAsia="zh-CN"/>
        </w:rPr>
        <w:t>（权重</w:t>
      </w:r>
      <w:r>
        <w:rPr>
          <w:rFonts w:hint="eastAsia" w:ascii="仿宋_GB2312" w:hAnsi="宋体" w:eastAsia="仿宋_GB2312" w:cs="仿宋_GB2312"/>
          <w:b w:val="0"/>
          <w:sz w:val="32"/>
          <w:szCs w:val="32"/>
          <w:highlight w:val="none"/>
          <w:lang w:val="en-US" w:eastAsia="zh-CN"/>
        </w:rPr>
        <w:t>4分，得分4分</w:t>
      </w:r>
      <w:r>
        <w:rPr>
          <w:rFonts w:hint="eastAsia" w:ascii="仿宋_GB2312" w:hAnsi="宋体" w:eastAsia="仿宋_GB2312" w:cs="仿宋_GB2312"/>
          <w:b w:val="0"/>
          <w:sz w:val="32"/>
          <w:szCs w:val="32"/>
          <w:highlight w:val="none"/>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lang w:val="en-US" w:eastAsia="zh-CN" w:bidi="ar-SA"/>
        </w:rPr>
      </w:pPr>
      <w:r>
        <w:rPr>
          <w:rFonts w:hint="eastAsia" w:ascii="仿宋_GB2312" w:hAnsi="宋体" w:eastAsia="仿宋_GB2312" w:cs="仿宋_GB2312"/>
          <w:b w:val="0"/>
          <w:bCs w:val="0"/>
          <w:kern w:val="2"/>
          <w:sz w:val="32"/>
          <w:szCs w:val="32"/>
          <w:lang w:val="en-US" w:eastAsia="zh-CN" w:bidi="ar-SA"/>
        </w:rPr>
        <w:t>该项目立项符合《关于进一步发展孤残儿童福利事业的通知》等文件精神，也符合《关于加强孤儿保障工作的实施意见》（赣民字〔2018〕3号）和《关于开展孤儿区域性机构养育工作的通知》中提出的“全面加强孤儿保障工作，健全亲属抚养、机构养育、家庭寄养、依法收养和社会助养等多种养育模式，完善孤儿生活、医疗、康复、教育、就业、住房等保障制度，基本建立以家庭养育为基础、社区福利服务为依托、儿童福利机构为保障的孤儿保障服务网络，确保孤儿得到良好养育、健康成长”相关要求。故该项目设立符合国家法律法规和相关政策，符合行业发展规划和政策要求，与单位职责范围也相符。</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（2）立项程序规范性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2分，得分2分</w:t>
      </w:r>
      <w:r>
        <w:rPr>
          <w:rFonts w:hint="eastAsia" w:ascii="仿宋_GB2312" w:hAnsi="宋体" w:eastAsia="仿宋_GB2312" w:cs="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宋体" w:eastAsia="仿宋_GB2312" w:cs="仿宋_GB2312"/>
          <w:b w:val="0"/>
          <w:kern w:val="2"/>
          <w:sz w:val="32"/>
          <w:szCs w:val="32"/>
          <w:lang w:val="en-US" w:eastAsia="zh-CN" w:bidi="ar-SA"/>
        </w:rPr>
      </w:pPr>
      <w:r>
        <w:rPr>
          <w:rFonts w:hint="eastAsia" w:ascii="仿宋_GB2312" w:hAnsi="宋体" w:eastAsia="仿宋_GB2312" w:cs="仿宋_GB2312"/>
          <w:color w:val="auto"/>
          <w:sz w:val="32"/>
          <w:szCs w:val="32"/>
          <w:highlight w:val="none"/>
          <w:lang w:val="en-US" w:eastAsia="zh-CN"/>
        </w:rPr>
        <w:t>我</w:t>
      </w:r>
      <w:r>
        <w:rPr>
          <w:rFonts w:hint="eastAsia" w:ascii="仿宋_GB2312" w:hAnsi="宋体" w:eastAsia="仿宋_GB2312" w:cs="仿宋_GB2312"/>
          <w:b w:val="0"/>
          <w:bCs w:val="0"/>
          <w:kern w:val="2"/>
          <w:sz w:val="32"/>
          <w:szCs w:val="32"/>
          <w:lang w:val="en-US" w:eastAsia="zh-CN" w:bidi="ar-SA"/>
        </w:rPr>
        <w:t>院服务对象生活区提升改造项目已获得南</w:t>
      </w:r>
      <w:r>
        <w:rPr>
          <w:rFonts w:hint="eastAsia" w:ascii="仿宋_GB2312" w:hAnsi="宋体" w:eastAsia="仿宋_GB2312" w:cs="仿宋_GB2312"/>
          <w:color w:val="auto"/>
          <w:sz w:val="32"/>
          <w:szCs w:val="32"/>
          <w:highlight w:val="none"/>
          <w:lang w:val="en-US" w:eastAsia="zh-CN"/>
        </w:rPr>
        <w:t>昌市发展和改革委员会批复的《关于南昌市社会福利院服务对象生活区提升改造项目建议书的批复》（洪发改社字</w:t>
      </w:r>
      <w:r>
        <w:rPr>
          <w:rFonts w:hint="eastAsia" w:ascii="仿宋" w:hAnsi="仿宋" w:eastAsia="仿宋" w:cs="仿宋"/>
          <w:b w:val="0"/>
          <w:kern w:val="2"/>
          <w:sz w:val="28"/>
          <w:szCs w:val="28"/>
          <w:vertAlign w:val="baseline"/>
          <w:lang w:val="en-US" w:eastAsia="zh-CN" w:bidi="ar-SA"/>
        </w:rPr>
        <w:t>〔2018〕12号</w:t>
      </w:r>
      <w:r>
        <w:rPr>
          <w:rFonts w:hint="eastAsia" w:ascii="仿宋_GB2312" w:hAnsi="宋体" w:eastAsia="仿宋_GB2312" w:cs="仿宋_GB2312"/>
          <w:color w:val="auto"/>
          <w:sz w:val="32"/>
          <w:szCs w:val="32"/>
          <w:highlight w:val="none"/>
          <w:lang w:val="en-US" w:eastAsia="zh-CN"/>
        </w:rPr>
        <w:t>）、南昌市行政审批局批复的《关于批复南昌市社会福利院服务对象生活区提升改造项目可行性研究报告的函》（洪行审投字</w:t>
      </w:r>
      <w:r>
        <w:rPr>
          <w:rFonts w:hint="eastAsia" w:ascii="仿宋" w:hAnsi="仿宋" w:eastAsia="仿宋" w:cs="仿宋"/>
          <w:b w:val="0"/>
          <w:kern w:val="2"/>
          <w:sz w:val="28"/>
          <w:szCs w:val="28"/>
          <w:vertAlign w:val="baseline"/>
          <w:lang w:val="en-US" w:eastAsia="zh-CN" w:bidi="ar-SA"/>
        </w:rPr>
        <w:t>〔2019〕55号</w:t>
      </w:r>
      <w:r>
        <w:rPr>
          <w:rFonts w:hint="eastAsia" w:ascii="仿宋_GB2312" w:hAnsi="宋体" w:eastAsia="仿宋_GB2312" w:cs="仿宋_GB2312"/>
          <w:color w:val="auto"/>
          <w:sz w:val="32"/>
          <w:szCs w:val="32"/>
          <w:highlight w:val="none"/>
          <w:lang w:val="en-US" w:eastAsia="zh-CN"/>
        </w:rPr>
        <w:t>）及《关于批复南昌市社会福利院服务对象生活区提升改造初步设计及概算审查的函》（洪行审投字</w:t>
      </w:r>
      <w:r>
        <w:rPr>
          <w:rFonts w:hint="eastAsia" w:ascii="仿宋" w:hAnsi="仿宋" w:eastAsia="仿宋" w:cs="仿宋"/>
          <w:b w:val="0"/>
          <w:kern w:val="2"/>
          <w:sz w:val="28"/>
          <w:szCs w:val="28"/>
          <w:vertAlign w:val="baseline"/>
          <w:lang w:val="en-US" w:eastAsia="zh-CN" w:bidi="ar-SA"/>
        </w:rPr>
        <w:t>〔2019〕268号</w:t>
      </w:r>
      <w:r>
        <w:rPr>
          <w:rFonts w:hint="eastAsia" w:ascii="仿宋_GB2312" w:hAnsi="宋体" w:eastAsia="仿宋_GB2312" w:cs="仿宋_GB2312"/>
          <w:color w:val="auto"/>
          <w:sz w:val="32"/>
          <w:szCs w:val="32"/>
          <w:highlight w:val="none"/>
          <w:lang w:val="en-US" w:eastAsia="zh-CN"/>
        </w:rPr>
        <w:t>）。</w:t>
      </w:r>
      <w:r>
        <w:rPr>
          <w:rFonts w:hint="eastAsia" w:ascii="仿宋_GB2312" w:hAnsi="宋体" w:eastAsia="仿宋_GB2312" w:cs="仿宋_GB2312"/>
          <w:b w:val="0"/>
          <w:kern w:val="2"/>
          <w:sz w:val="32"/>
          <w:szCs w:val="32"/>
          <w:lang w:val="en-US" w:eastAsia="zh-CN" w:bidi="ar-SA"/>
        </w:rPr>
        <w:t>该项目立项程序较为规范，审批材料也符合相关要求。</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outlineLvl w:val="9"/>
        <w:rPr>
          <w:rFonts w:hint="eastAsia" w:ascii="仿宋_GB2312" w:hAnsi="宋体" w:eastAsia="仿宋_GB2312" w:cs="仿宋_GB2312"/>
          <w:b/>
          <w:bCs/>
          <w:kern w:val="2"/>
          <w:sz w:val="32"/>
          <w:szCs w:val="32"/>
          <w:lang w:val="en-US" w:eastAsia="zh-CN" w:bidi="ar-SA"/>
        </w:rPr>
      </w:pPr>
      <w:r>
        <w:rPr>
          <w:rFonts w:hint="eastAsia" w:ascii="仿宋_GB2312" w:hAnsi="宋体" w:eastAsia="仿宋_GB2312" w:cs="仿宋_GB2312"/>
          <w:b/>
          <w:bCs/>
          <w:kern w:val="2"/>
          <w:sz w:val="32"/>
          <w:szCs w:val="32"/>
          <w:lang w:val="en-US" w:eastAsia="zh-CN" w:bidi="ar-SA"/>
        </w:rPr>
        <w:t>2.绩效目标</w:t>
      </w:r>
      <w:r>
        <w:rPr>
          <w:rFonts w:hint="eastAsia" w:ascii="仿宋_GB2312" w:hAnsi="宋体" w:eastAsia="仿宋_GB2312" w:cs="仿宋_GB2312"/>
          <w:b/>
          <w:bCs/>
          <w:sz w:val="32"/>
          <w:szCs w:val="32"/>
          <w:lang w:eastAsia="zh-CN"/>
        </w:rPr>
        <w:t>（权重</w:t>
      </w:r>
      <w:r>
        <w:rPr>
          <w:rFonts w:hint="eastAsia" w:ascii="仿宋_GB2312" w:hAnsi="宋体" w:eastAsia="仿宋_GB2312" w:cs="仿宋_GB2312"/>
          <w:b/>
          <w:bCs/>
          <w:sz w:val="32"/>
          <w:szCs w:val="32"/>
          <w:lang w:val="en-US" w:eastAsia="zh-CN"/>
        </w:rPr>
        <w:t>7分，得分5分</w:t>
      </w:r>
      <w:r>
        <w:rPr>
          <w:rFonts w:hint="eastAsia" w:ascii="仿宋_GB2312" w:hAnsi="宋体" w:eastAsia="仿宋_GB2312" w:cs="仿宋_GB2312"/>
          <w:b/>
          <w:bCs/>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lang w:val="en-US" w:eastAsia="zh-CN" w:bidi="ar-SA"/>
        </w:rPr>
      </w:pPr>
      <w:r>
        <w:rPr>
          <w:rFonts w:hint="eastAsia" w:ascii="仿宋_GB2312" w:hAnsi="宋体" w:eastAsia="仿宋_GB2312" w:cs="仿宋_GB2312"/>
          <w:b w:val="0"/>
          <w:bCs w:val="0"/>
          <w:kern w:val="2"/>
          <w:sz w:val="32"/>
          <w:szCs w:val="32"/>
          <w:lang w:val="en-US" w:eastAsia="zh-CN" w:bidi="ar-SA"/>
        </w:rPr>
        <w:t>（1）绩效目标合理性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4分，得分3分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ab/>
      </w:r>
      <w:r>
        <w:rPr>
          <w:rFonts w:hint="eastAsia" w:ascii="仿宋_GB2312" w:hAnsi="宋体" w:eastAsia="仿宋_GB2312" w:cs="仿宋_GB2312"/>
          <w:b w:val="0"/>
          <w:color w:val="auto"/>
          <w:kern w:val="2"/>
          <w:sz w:val="32"/>
          <w:szCs w:val="32"/>
          <w:highlight w:val="none"/>
          <w:lang w:val="en-US" w:eastAsia="zh-CN" w:bidi="ar-SA"/>
        </w:rPr>
        <w:t>该项目设有绩效目标，绩效目标设置较为合理</w:t>
      </w:r>
      <w:r>
        <w:rPr>
          <w:rFonts w:hint="default" w:ascii="仿宋_GB2312" w:hAnsi="宋体" w:eastAsia="仿宋_GB2312" w:cs="仿宋_GB2312"/>
          <w:b w:val="0"/>
          <w:color w:val="auto"/>
          <w:kern w:val="2"/>
          <w:sz w:val="32"/>
          <w:szCs w:val="32"/>
          <w:highlight w:val="none"/>
          <w:lang w:val="en-US" w:eastAsia="zh-CN" w:bidi="ar-SA"/>
        </w:rPr>
        <w:t>，有待提升合理性的目标值为时效指标，该项目设置的时效指标应具备可考核性，设置的较为笼统扣1分。</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（2）绩效指标明确性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3分，得分2分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_GB2312" w:hAnsi="宋体" w:eastAsia="仿宋_GB2312" w:cs="仿宋_GB2312"/>
          <w:b w:val="0"/>
          <w:bCs w:val="0"/>
          <w:kern w:val="2"/>
          <w:sz w:val="32"/>
          <w:szCs w:val="32"/>
          <w:highlight w:val="yellow"/>
          <w:lang w:val="en-US" w:eastAsia="zh-CN" w:bidi="ar-SA"/>
        </w:rPr>
      </w:pPr>
      <w:r>
        <w:rPr>
          <w:rFonts w:hint="eastAsia" w:ascii="仿宋_GB2312" w:hAnsi="宋体" w:eastAsia="仿宋_GB2312" w:cs="仿宋_GB2312"/>
          <w:b w:val="0"/>
          <w:bCs w:val="0"/>
          <w:kern w:val="2"/>
          <w:sz w:val="32"/>
          <w:szCs w:val="32"/>
          <w:highlight w:val="none"/>
          <w:lang w:val="en-US" w:eastAsia="zh-CN" w:bidi="ar-SA"/>
        </w:rPr>
        <w:t>根据项目绩效目标申报表，该项目绩效目标已细化分解为具体的绩效指标，且与项目目标任务数或计划数也能相对应，但其时效指标设置不够具体</w:t>
      </w:r>
      <w:r>
        <w:rPr>
          <w:rFonts w:hint="default" w:ascii="仿宋_GB2312" w:hAnsi="宋体" w:eastAsia="仿宋_GB2312" w:cs="仿宋_GB2312"/>
          <w:b w:val="0"/>
          <w:bCs w:val="0"/>
          <w:kern w:val="2"/>
          <w:sz w:val="32"/>
          <w:szCs w:val="32"/>
          <w:highlight w:val="none"/>
          <w:lang w:eastAsia="zh-CN" w:bidi="ar-SA"/>
          <w:woUserID w:val="1"/>
        </w:rPr>
        <w:t>扣1分</w:t>
      </w:r>
      <w:r>
        <w:rPr>
          <w:rFonts w:hint="eastAsia" w:ascii="仿宋_GB2312" w:hAnsi="宋体" w:eastAsia="仿宋_GB2312" w:cs="仿宋_GB2312"/>
          <w:b w:val="0"/>
          <w:bCs w:val="0"/>
          <w:kern w:val="2"/>
          <w:sz w:val="32"/>
          <w:szCs w:val="32"/>
          <w:highlight w:val="none"/>
          <w:lang w:val="en-US" w:eastAsia="zh-CN" w:bidi="ar-SA"/>
        </w:rPr>
        <w:t>。例如：时效指标设置为“资金拨付及时性”，对应指标值为“2025年12月31日之前据实拨付”，时效指标应该按阶段性考核，该指标设置较为笼统，有待加强时效指标可考核性。</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3.资金投入</w:t>
      </w:r>
      <w:r>
        <w:rPr>
          <w:rFonts w:hint="eastAsia" w:ascii="仿宋_GB2312" w:hAnsi="宋体" w:eastAsia="仿宋_GB2312" w:cs="仿宋_GB2312"/>
          <w:b w:val="0"/>
          <w:bCs w:val="0"/>
          <w:sz w:val="32"/>
          <w:szCs w:val="32"/>
          <w:lang w:eastAsia="zh-CN"/>
        </w:rPr>
        <w:t>（权重</w:t>
      </w:r>
      <w:r>
        <w:rPr>
          <w:rFonts w:hint="eastAsia" w:ascii="仿宋_GB2312" w:hAnsi="宋体" w:eastAsia="仿宋_GB2312" w:cs="仿宋_GB2312"/>
          <w:b w:val="0"/>
          <w:bCs w:val="0"/>
          <w:sz w:val="32"/>
          <w:szCs w:val="32"/>
          <w:lang w:val="en-US" w:eastAsia="zh-CN"/>
        </w:rPr>
        <w:t>6分，得分6分</w:t>
      </w:r>
      <w:r>
        <w:rPr>
          <w:rFonts w:hint="eastAsia" w:ascii="仿宋_GB2312" w:hAnsi="宋体" w:eastAsia="仿宋_GB2312" w:cs="仿宋_GB2312"/>
          <w:b w:val="0"/>
          <w:bCs w:val="0"/>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仿宋" w:hAnsi="仿宋" w:eastAsia="仿宋" w:cs="仿宋"/>
          <w:b w:val="0"/>
          <w:sz w:val="32"/>
          <w:szCs w:val="32"/>
          <w:highlight w:val="none"/>
        </w:rPr>
      </w:pPr>
      <w:r>
        <w:rPr>
          <w:rFonts w:hint="eastAsia" w:ascii="仿宋" w:hAnsi="仿宋" w:eastAsia="仿宋" w:cs="仿宋"/>
          <w:b w:val="0"/>
          <w:sz w:val="32"/>
          <w:szCs w:val="32"/>
          <w:highlight w:val="none"/>
        </w:rPr>
        <w:t>（1）预算编制科学性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4分，得分4分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default"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项目单位聘请了第三方机构编制了该项目可研和初设报告，以上报告中有项目投资金额的详细测算明细，其投资金额根据相应标准和工程量测算而来，并经过了南昌市行政审批局的批复，该项目预算编制依据充分，资金额度与项目内容也匹配，预算编制较为科学。</w:t>
      </w:r>
    </w:p>
    <w:p>
      <w:pPr>
        <w:pStyle w:val="5"/>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仿宋" w:hAnsi="仿宋" w:eastAsia="仿宋" w:cs="仿宋"/>
          <w:b w:val="0"/>
          <w:sz w:val="32"/>
          <w:szCs w:val="32"/>
        </w:rPr>
      </w:pPr>
      <w:r>
        <w:rPr>
          <w:rFonts w:hint="eastAsia" w:ascii="仿宋" w:hAnsi="仿宋" w:eastAsia="仿宋" w:cs="仿宋"/>
          <w:b w:val="0"/>
          <w:sz w:val="32"/>
          <w:szCs w:val="32"/>
        </w:rPr>
        <w:t>（2）资金分配合理性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2分，得分2分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default" w:ascii="仿宋" w:hAnsi="仿宋" w:eastAsia="仿宋" w:cs="仿宋"/>
          <w:b w:val="0"/>
          <w:color w:val="auto"/>
          <w:sz w:val="32"/>
          <w:szCs w:val="32"/>
          <w:highlight w:val="yellow"/>
          <w:lang w:val="en-US" w:eastAsia="zh-CN"/>
        </w:rPr>
      </w:pPr>
      <w:r>
        <w:rPr>
          <w:rFonts w:hint="eastAsia" w:ascii="仿宋" w:hAnsi="仿宋" w:eastAsia="仿宋" w:cs="仿宋"/>
          <w:b w:val="0"/>
          <w:kern w:val="2"/>
          <w:sz w:val="32"/>
          <w:szCs w:val="32"/>
          <w:lang w:val="en-US" w:eastAsia="zh-CN" w:bidi="ar-SA"/>
        </w:rPr>
        <w:t>根据《关于批复南昌市社会福利院服务对象生活区提升</w:t>
      </w:r>
      <w:r>
        <w:rPr>
          <w:rFonts w:hint="eastAsia" w:ascii="仿宋" w:hAnsi="仿宋" w:eastAsia="仿宋" w:cs="仿宋"/>
          <w:b w:val="0"/>
          <w:kern w:val="2"/>
          <w:sz w:val="32"/>
          <w:szCs w:val="32"/>
          <w:highlight w:val="none"/>
          <w:lang w:val="en-US" w:eastAsia="zh-CN" w:bidi="ar-SA"/>
        </w:rPr>
        <w:t>改造初步设计及概算审查的函》（洪行审投字〔2019〕268号），</w:t>
      </w:r>
      <w:r>
        <w:rPr>
          <w:rFonts w:hint="eastAsia" w:ascii="仿宋" w:hAnsi="仿宋" w:eastAsia="仿宋" w:cs="仿宋"/>
          <w:b w:val="0"/>
          <w:color w:val="auto"/>
          <w:kern w:val="2"/>
          <w:sz w:val="32"/>
          <w:szCs w:val="32"/>
          <w:highlight w:val="none"/>
          <w:lang w:val="en-US" w:eastAsia="zh-CN" w:bidi="ar-SA"/>
        </w:rPr>
        <w:t>该项目总投资概算为9269.11万元，其中建安工程费8347.14万元，工程建设其他费504.61万元，预备费417.36万元</w:t>
      </w:r>
      <w:r>
        <w:rPr>
          <w:rFonts w:hint="eastAsia" w:ascii="仿宋" w:hAnsi="仿宋" w:eastAsia="仿宋" w:cs="仿宋"/>
          <w:b w:val="0"/>
          <w:color w:val="auto"/>
          <w:sz w:val="32"/>
          <w:szCs w:val="32"/>
          <w:highlight w:val="none"/>
          <w:lang w:val="en-US" w:eastAsia="zh-CN"/>
        </w:rPr>
        <w:t>。该分配与项目实际情况相符，资金分配较为合理。</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outlineLvl w:val="1"/>
        <w:rPr>
          <w:rFonts w:hint="eastAsia" w:ascii="楷体_GB2312" w:hAnsi="楷体_GB2312" w:eastAsia="楷体_GB2312" w:cs="楷体_GB2312"/>
          <w:b/>
          <w:color w:val="auto"/>
          <w:sz w:val="32"/>
          <w:szCs w:val="32"/>
        </w:rPr>
      </w:pPr>
      <w:bookmarkStart w:id="30" w:name="_Toc8730"/>
      <w:r>
        <w:rPr>
          <w:rFonts w:hint="eastAsia" w:ascii="楷体_GB2312" w:hAnsi="楷体_GB2312" w:eastAsia="楷体_GB2312" w:cs="楷体_GB2312"/>
          <w:b/>
          <w:color w:val="auto"/>
          <w:sz w:val="32"/>
          <w:szCs w:val="32"/>
        </w:rPr>
        <w:t>（二）项目过程情况</w:t>
      </w:r>
      <w:bookmarkEnd w:id="30"/>
    </w:p>
    <w:p>
      <w:pPr>
        <w:pStyle w:val="5"/>
        <w:keepNext w:val="0"/>
        <w:keepLines w:val="0"/>
        <w:pageBreakBefore w:val="0"/>
        <w:widowControl w:val="0"/>
        <w:kinsoku/>
        <w:wordWrap/>
        <w:overflowPunct/>
        <w:topLinePunct w:val="0"/>
        <w:autoSpaceDE/>
        <w:autoSpaceDN/>
        <w:bidi w:val="0"/>
        <w:adjustRightInd/>
        <w:snapToGrid/>
        <w:spacing w:line="360" w:lineRule="auto"/>
        <w:ind w:firstLine="641" w:firstLineChars="200"/>
        <w:jc w:val="both"/>
        <w:textAlignment w:val="auto"/>
        <w:outlineLvl w:val="9"/>
        <w:rPr>
          <w:rFonts w:hint="eastAsia" w:ascii="仿宋_GB2312" w:hAnsi="宋体" w:eastAsia="仿宋_GB2312" w:cs="仿宋_GB2312"/>
          <w:b/>
          <w:bCs/>
          <w:color w:val="auto"/>
          <w:kern w:val="2"/>
          <w:sz w:val="32"/>
          <w:szCs w:val="32"/>
          <w:highlight w:val="none"/>
          <w:lang w:val="en-US" w:eastAsia="zh-CN" w:bidi="ar-SA"/>
        </w:rPr>
      </w:pPr>
      <w:r>
        <w:rPr>
          <w:rFonts w:hint="eastAsia" w:ascii="仿宋_GB2312" w:hAnsi="宋体" w:eastAsia="仿宋_GB2312" w:cs="仿宋_GB2312"/>
          <w:b/>
          <w:bCs/>
          <w:color w:val="auto"/>
          <w:kern w:val="2"/>
          <w:sz w:val="32"/>
          <w:szCs w:val="32"/>
          <w:highlight w:val="none"/>
          <w:lang w:val="en-US" w:eastAsia="zh-CN" w:bidi="ar-SA"/>
        </w:rPr>
        <w:t>1.资金管理</w:t>
      </w:r>
      <w:r>
        <w:rPr>
          <w:rFonts w:hint="eastAsia" w:ascii="仿宋_GB2312" w:hAnsi="宋体" w:eastAsia="仿宋_GB2312" w:cs="仿宋_GB2312"/>
          <w:b/>
          <w:bCs/>
          <w:sz w:val="32"/>
          <w:szCs w:val="32"/>
          <w:lang w:eastAsia="zh-CN"/>
        </w:rPr>
        <w:t>（权重</w:t>
      </w:r>
      <w:r>
        <w:rPr>
          <w:rFonts w:hint="eastAsia" w:ascii="仿宋_GB2312" w:hAnsi="宋体" w:eastAsia="仿宋_GB2312" w:cs="仿宋_GB2312"/>
          <w:b/>
          <w:bCs/>
          <w:sz w:val="32"/>
          <w:szCs w:val="32"/>
          <w:lang w:val="en-US" w:eastAsia="zh-CN"/>
        </w:rPr>
        <w:t>13分，得分13分</w:t>
      </w:r>
      <w:r>
        <w:rPr>
          <w:rFonts w:hint="eastAsia" w:ascii="仿宋_GB2312" w:hAnsi="宋体" w:eastAsia="仿宋_GB2312" w:cs="仿宋_GB2312"/>
          <w:b/>
          <w:bCs/>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bCs w:val="0"/>
          <w:color w:val="auto"/>
          <w:kern w:val="2"/>
          <w:sz w:val="32"/>
          <w:szCs w:val="32"/>
          <w:lang w:val="en-US" w:eastAsia="zh-CN" w:bidi="ar-SA"/>
        </w:rPr>
      </w:pPr>
      <w:r>
        <w:rPr>
          <w:rFonts w:hint="eastAsia" w:ascii="仿宋_GB2312" w:hAnsi="宋体" w:eastAsia="仿宋_GB2312" w:cs="仿宋_GB2312"/>
          <w:b w:val="0"/>
          <w:bCs w:val="0"/>
          <w:color w:val="auto"/>
          <w:kern w:val="2"/>
          <w:sz w:val="32"/>
          <w:szCs w:val="32"/>
          <w:lang w:val="en-US" w:eastAsia="zh-CN" w:bidi="ar-SA"/>
        </w:rPr>
        <w:t>（1）资金到位率</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3分，得分3分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outlineLvl w:val="9"/>
        <w:rPr>
          <w:rFonts w:hint="default" w:ascii="仿宋_GB2312" w:hAnsi="宋体" w:eastAsia="仿宋_GB2312" w:cs="仿宋_GB2312"/>
          <w:b w:val="0"/>
          <w:bCs w:val="0"/>
          <w:color w:val="auto"/>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highlight w:val="none"/>
          <w:lang w:val="en-US" w:eastAsia="zh-CN" w:bidi="ar-SA"/>
        </w:rPr>
        <w:t>该项目2025年度预算资金为2916.73万元，项目实际到位资金2916.73万元，资金到位率为100%。</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bCs w:val="0"/>
          <w:color w:val="auto"/>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highlight w:val="none"/>
          <w:lang w:val="en-US" w:eastAsia="zh-CN" w:bidi="ar-SA"/>
        </w:rPr>
        <w:t>（2）预算执行率</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6分，得分6分</w:t>
      </w:r>
      <w:r>
        <w:rPr>
          <w:rFonts w:hint="eastAsia" w:ascii="仿宋_GB2312" w:hAnsi="宋体" w:eastAsia="仿宋_GB2312" w:cs="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highlight w:val="none"/>
          <w:lang w:val="en-US" w:eastAsia="zh-CN" w:bidi="ar-SA"/>
        </w:rPr>
        <w:t>该项目2025年度到位资金为2916.73万元，截止至2025年12月31日，实际支出了2916.73万元</w:t>
      </w:r>
      <w:r>
        <w:rPr>
          <w:rFonts w:hint="eastAsia" w:ascii="仿宋" w:hAnsi="仿宋" w:eastAsia="仿宋" w:cs="仿宋"/>
          <w:color w:val="auto"/>
          <w:sz w:val="32"/>
          <w:szCs w:val="32"/>
          <w:highlight w:val="none"/>
          <w:lang w:val="en-US" w:eastAsia="zh-CN"/>
        </w:rPr>
        <w:t>，</w:t>
      </w:r>
      <w:r>
        <w:rPr>
          <w:rFonts w:hint="eastAsia" w:ascii="仿宋_GB2312" w:hAnsi="宋体" w:eastAsia="仿宋_GB2312" w:cs="仿宋_GB2312"/>
          <w:b w:val="0"/>
          <w:color w:val="auto"/>
          <w:kern w:val="2"/>
          <w:sz w:val="32"/>
          <w:szCs w:val="32"/>
          <w:highlight w:val="none"/>
          <w:lang w:val="en-US" w:eastAsia="zh-CN" w:bidi="ar-SA"/>
        </w:rPr>
        <w:t>预算执行率为100%。</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（3）资金使用合规性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4分，得分4分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bCs w:val="0"/>
          <w:color w:val="FF0000"/>
          <w:kern w:val="2"/>
          <w:sz w:val="32"/>
          <w:szCs w:val="32"/>
          <w:lang w:val="en-US" w:eastAsia="zh-CN" w:bidi="ar-SA"/>
        </w:rPr>
      </w:pPr>
      <w:r>
        <w:rPr>
          <w:rFonts w:hint="eastAsia" w:ascii="仿宋_GB2312" w:hAnsi="宋体" w:eastAsia="仿宋_GB2312" w:cs="仿宋_GB2312"/>
          <w:b w:val="0"/>
          <w:bCs w:val="0"/>
          <w:kern w:val="2"/>
          <w:sz w:val="32"/>
          <w:szCs w:val="32"/>
          <w:lang w:val="en-US" w:eastAsia="zh-CN" w:bidi="ar-SA"/>
        </w:rPr>
        <w:t>该项目资金使用基本符合《中华人民共和国会计法》、</w:t>
      </w:r>
      <w:r>
        <w:rPr>
          <w:rFonts w:hint="eastAsia" w:ascii="仿宋_GB2312" w:hAnsi="宋体" w:eastAsia="仿宋_GB2312" w:cs="仿宋_GB2312"/>
          <w:b w:val="0"/>
          <w:bCs w:val="0"/>
          <w:color w:val="auto"/>
          <w:kern w:val="2"/>
          <w:sz w:val="32"/>
          <w:szCs w:val="32"/>
          <w:lang w:val="en-US" w:eastAsia="zh-CN" w:bidi="ar-SA"/>
        </w:rPr>
        <w:t>《事业单位财务规则》以及《关于印发南昌市社会福利院财务管理制度支出管理制度的通知》（洪福字〔2022</w:t>
      </w:r>
      <w:r>
        <w:rPr>
          <w:rFonts w:hint="eastAsia" w:ascii="仿宋" w:hAnsi="仿宋" w:eastAsia="仿宋" w:cs="仿宋"/>
          <w:b w:val="0"/>
          <w:color w:val="auto"/>
          <w:sz w:val="32"/>
          <w:szCs w:val="32"/>
          <w:lang w:val="en-US" w:eastAsia="zh-CN"/>
        </w:rPr>
        <w:t>〕</w:t>
      </w:r>
      <w:r>
        <w:rPr>
          <w:rFonts w:hint="eastAsia" w:ascii="仿宋_GB2312" w:hAnsi="宋体" w:eastAsia="仿宋_GB2312" w:cs="仿宋_GB2312"/>
          <w:b w:val="0"/>
          <w:bCs w:val="0"/>
          <w:color w:val="auto"/>
          <w:kern w:val="2"/>
          <w:sz w:val="32"/>
          <w:szCs w:val="32"/>
          <w:lang w:val="en-US" w:eastAsia="zh-CN" w:bidi="ar-SA"/>
        </w:rPr>
        <w:t>4号）等相关规定。本次评价抽查了项目明细账，了解到，单位对项目资金实行了专账核算，预算资金均用于本项目支出，不存在截留、挤占、挪用、虚列支出等情况；此外，该项目资金的拨付均有完整的审批程序和手续。</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jc w:val="left"/>
        <w:textAlignment w:val="auto"/>
        <w:outlineLvl w:val="9"/>
        <w:rPr>
          <w:rFonts w:hint="default" w:ascii="仿宋_GB2312" w:hAnsi="宋体" w:eastAsia="仿宋_GB2312" w:cs="仿宋_GB2312"/>
          <w:b/>
          <w:bCs/>
          <w:color w:val="auto"/>
          <w:kern w:val="2"/>
          <w:sz w:val="32"/>
          <w:szCs w:val="32"/>
          <w:lang w:val="en-US" w:eastAsia="zh-CN" w:bidi="ar-SA"/>
        </w:rPr>
      </w:pPr>
      <w:r>
        <w:rPr>
          <w:rFonts w:hint="eastAsia" w:ascii="仿宋_GB2312" w:hAnsi="宋体" w:eastAsia="仿宋_GB2312" w:cs="仿宋_GB2312"/>
          <w:b/>
          <w:bCs/>
          <w:color w:val="auto"/>
          <w:kern w:val="2"/>
          <w:sz w:val="32"/>
          <w:szCs w:val="32"/>
          <w:lang w:val="en-US" w:eastAsia="zh-CN" w:bidi="ar-SA"/>
        </w:rPr>
        <w:t>2.组织实施</w:t>
      </w:r>
      <w:r>
        <w:rPr>
          <w:rFonts w:hint="eastAsia" w:ascii="仿宋_GB2312" w:hAnsi="宋体" w:eastAsia="仿宋_GB2312" w:cs="仿宋_GB2312"/>
          <w:b/>
          <w:bCs/>
          <w:sz w:val="32"/>
          <w:szCs w:val="32"/>
          <w:lang w:eastAsia="zh-CN"/>
        </w:rPr>
        <w:t>（权重</w:t>
      </w:r>
      <w:r>
        <w:rPr>
          <w:rFonts w:hint="eastAsia" w:ascii="仿宋_GB2312" w:hAnsi="宋体" w:eastAsia="仿宋_GB2312" w:cs="仿宋_GB2312"/>
          <w:b/>
          <w:bCs/>
          <w:sz w:val="32"/>
          <w:szCs w:val="32"/>
          <w:lang w:val="en-US" w:eastAsia="zh-CN"/>
        </w:rPr>
        <w:t>8分，得分8分</w:t>
      </w:r>
      <w:r>
        <w:rPr>
          <w:rFonts w:hint="eastAsia" w:ascii="仿宋_GB2312" w:hAnsi="宋体" w:eastAsia="仿宋_GB2312" w:cs="仿宋_GB2312"/>
          <w:b/>
          <w:bCs/>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sz w:val="32"/>
          <w:szCs w:val="32"/>
          <w:lang w:eastAsia="zh-CN"/>
        </w:rPr>
      </w:pPr>
      <w:r>
        <w:rPr>
          <w:rFonts w:hint="eastAsia" w:ascii="仿宋_GB2312" w:hAnsi="宋体" w:eastAsia="仿宋_GB2312" w:cs="仿宋_GB2312"/>
          <w:b w:val="0"/>
          <w:bCs w:val="0"/>
          <w:kern w:val="2"/>
          <w:sz w:val="32"/>
          <w:szCs w:val="32"/>
          <w:highlight w:val="none"/>
          <w:lang w:val="en-US" w:eastAsia="zh-CN" w:bidi="ar-SA"/>
        </w:rPr>
        <w:t>（1）管理制度健全性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4分，得分4分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lang w:val="en-US" w:eastAsia="zh-CN" w:bidi="ar-SA"/>
        </w:rPr>
        <w:t>该项目实施主要依据《关于印发南昌市社会福利院财务管理制度支出管理制度的通知》（洪福字〔2022〕4号）等相关规定，项目可研报告中已明确项目实施内容、工作流程、时间安排、组织领导等，管理制度健全。</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（2）制度执行有效性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4分，得分4分</w:t>
      </w:r>
      <w:r>
        <w:rPr>
          <w:rFonts w:hint="eastAsia" w:ascii="仿宋_GB2312" w:hAnsi="宋体" w:eastAsia="仿宋_GB2312" w:cs="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highlight w:val="none"/>
          <w:lang w:val="en-US" w:eastAsia="zh-CN" w:bidi="ar-SA"/>
        </w:rPr>
      </w:pPr>
      <w:bookmarkStart w:id="31" w:name="_Toc6836"/>
      <w:r>
        <w:rPr>
          <w:rFonts w:hint="eastAsia" w:ascii="仿宋_GB2312" w:hAnsi="宋体" w:eastAsia="仿宋_GB2312" w:cs="仿宋_GB2312"/>
          <w:b w:val="0"/>
          <w:bCs w:val="0"/>
          <w:kern w:val="2"/>
          <w:sz w:val="32"/>
          <w:szCs w:val="32"/>
          <w:highlight w:val="none"/>
          <w:lang w:val="en-US" w:eastAsia="zh-CN" w:bidi="ar-SA"/>
        </w:rPr>
        <w:t>在项目实施过程中，项目实施单位基本能遵守相关法律法规，并按照《关于印发南昌市社会福利院财务管理制度支出管理制度的通知》（洪福字〔2022〕4号）等管理制度执行，该项目制度执行较为有效。</w:t>
      </w:r>
    </w:p>
    <w:p>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outlineLvl w:val="1"/>
        <w:rPr>
          <w:rFonts w:hint="eastAsia" w:ascii="楷体_GB2312" w:hAnsi="楷体_GB2312" w:eastAsia="楷体_GB2312" w:cs="楷体_GB2312"/>
          <w:b/>
          <w:color w:val="000000"/>
          <w:kern w:val="2"/>
          <w:sz w:val="32"/>
          <w:szCs w:val="32"/>
          <w:highlight w:val="none"/>
          <w:lang w:val="en-US" w:eastAsia="zh-CN" w:bidi="ar-SA"/>
        </w:rPr>
      </w:pPr>
      <w:r>
        <w:rPr>
          <w:rFonts w:hint="eastAsia" w:ascii="楷体_GB2312" w:hAnsi="楷体_GB2312" w:eastAsia="楷体_GB2312" w:cs="楷体_GB2312"/>
          <w:b/>
          <w:color w:val="000000"/>
          <w:kern w:val="2"/>
          <w:sz w:val="32"/>
          <w:szCs w:val="32"/>
          <w:highlight w:val="none"/>
          <w:lang w:val="en-US" w:eastAsia="zh-CN" w:bidi="ar-SA"/>
        </w:rPr>
        <w:t>（三）项目产出情况</w:t>
      </w:r>
      <w:bookmarkEnd w:id="31"/>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jc w:val="left"/>
        <w:textAlignment w:val="auto"/>
        <w:outlineLvl w:val="9"/>
        <w:rPr>
          <w:rFonts w:hint="default" w:ascii="仿宋_GB2312" w:hAnsi="宋体" w:eastAsia="仿宋_GB2312" w:cs="仿宋_GB2312"/>
          <w:b/>
          <w:bCs/>
          <w:kern w:val="2"/>
          <w:sz w:val="32"/>
          <w:szCs w:val="32"/>
          <w:highlight w:val="none"/>
          <w:lang w:val="en-US" w:eastAsia="zh-CN" w:bidi="ar-SA"/>
        </w:rPr>
      </w:pPr>
      <w:r>
        <w:rPr>
          <w:rFonts w:hint="eastAsia" w:ascii="仿宋_GB2312" w:hAnsi="宋体" w:eastAsia="仿宋_GB2312" w:cs="仿宋_GB2312"/>
          <w:b/>
          <w:bCs/>
          <w:kern w:val="2"/>
          <w:sz w:val="32"/>
          <w:szCs w:val="32"/>
          <w:highlight w:val="none"/>
          <w:lang w:val="en-US" w:eastAsia="zh-CN" w:bidi="ar-SA"/>
        </w:rPr>
        <w:t>1.产出数量</w:t>
      </w:r>
      <w:r>
        <w:rPr>
          <w:rFonts w:hint="eastAsia" w:ascii="仿宋_GB2312" w:hAnsi="宋体" w:eastAsia="仿宋_GB2312" w:cs="仿宋_GB2312"/>
          <w:b/>
          <w:bCs/>
          <w:sz w:val="32"/>
          <w:szCs w:val="32"/>
          <w:lang w:eastAsia="zh-CN"/>
        </w:rPr>
        <w:t>（权重</w:t>
      </w:r>
      <w:r>
        <w:rPr>
          <w:rFonts w:hint="eastAsia" w:ascii="仿宋_GB2312" w:hAnsi="宋体" w:eastAsia="仿宋_GB2312" w:cs="仿宋_GB2312"/>
          <w:b/>
          <w:bCs/>
          <w:sz w:val="32"/>
          <w:szCs w:val="32"/>
          <w:lang w:val="en-US" w:eastAsia="zh-CN"/>
        </w:rPr>
        <w:t>22分，得分22分</w:t>
      </w:r>
      <w:r>
        <w:rPr>
          <w:rFonts w:hint="eastAsia" w:ascii="仿宋_GB2312" w:hAnsi="宋体" w:eastAsia="仿宋_GB2312" w:cs="仿宋_GB2312"/>
          <w:b/>
          <w:bCs/>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outlineLvl w:val="9"/>
        <w:rPr>
          <w:rFonts w:hint="default"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（1）地面防滑砖铺设面积</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8分，得分8分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宋体" w:eastAsia="仿宋_GB2312" w:cs="仿宋_GB2312"/>
          <w:b w:val="0"/>
          <w:bCs w:val="0"/>
          <w:kern w:val="2"/>
          <w:sz w:val="32"/>
          <w:szCs w:val="32"/>
          <w:highlight w:val="yellow"/>
          <w:lang w:val="en-US" w:eastAsia="zh-CN" w:bidi="ar-SA"/>
        </w:rPr>
      </w:pPr>
      <w:r>
        <w:rPr>
          <w:rFonts w:hint="eastAsia" w:ascii="仿宋_GB2312" w:hAnsi="宋体" w:eastAsia="仿宋_GB2312" w:cs="仿宋_GB2312"/>
          <w:b w:val="0"/>
          <w:bCs w:val="0"/>
          <w:kern w:val="2"/>
          <w:sz w:val="32"/>
          <w:szCs w:val="32"/>
          <w:highlight w:val="none"/>
          <w:lang w:val="en-US" w:eastAsia="zh-CN" w:bidi="ar-SA"/>
        </w:rPr>
        <w:t>根据</w:t>
      </w:r>
      <w:r>
        <w:rPr>
          <w:rFonts w:hint="eastAsia" w:ascii="仿宋" w:hAnsi="仿宋" w:eastAsia="仿宋" w:cs="仿宋"/>
          <w:b w:val="0"/>
          <w:kern w:val="2"/>
          <w:sz w:val="32"/>
          <w:szCs w:val="32"/>
          <w:lang w:val="en-US" w:eastAsia="zh-CN" w:bidi="ar-SA"/>
        </w:rPr>
        <w:t>《关于批复南昌市社会福利院服务对象生活区提升</w:t>
      </w:r>
      <w:r>
        <w:rPr>
          <w:rFonts w:hint="eastAsia" w:ascii="仿宋" w:hAnsi="仿宋" w:eastAsia="仿宋" w:cs="仿宋"/>
          <w:b w:val="0"/>
          <w:kern w:val="2"/>
          <w:sz w:val="32"/>
          <w:szCs w:val="32"/>
          <w:highlight w:val="none"/>
          <w:lang w:val="en-US" w:eastAsia="zh-CN" w:bidi="ar-SA"/>
        </w:rPr>
        <w:t>改造初步设计及概算审查的函》（洪行审投字〔2019〕268号）等要求，</w:t>
      </w:r>
      <w:r>
        <w:rPr>
          <w:rFonts w:hint="eastAsia" w:ascii="仿宋_GB2312" w:hAnsi="宋体" w:eastAsia="仿宋_GB2312" w:cs="仿宋_GB2312"/>
          <w:b w:val="0"/>
          <w:bCs w:val="0"/>
          <w:kern w:val="2"/>
          <w:sz w:val="32"/>
          <w:szCs w:val="32"/>
          <w:highlight w:val="none"/>
          <w:lang w:val="en-US" w:eastAsia="zh-CN" w:bidi="ar-SA"/>
        </w:rPr>
        <w:t>2025年度需完成地面防滑砖铺设面积939.93平方米工程建设任务。截至2025年12月31日，福利院已按要求开展了上述地面防滑砖铺设工作，该任务已完成。</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（2）地下室桥架长度</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8分，得分8分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宋体" w:eastAsia="仿宋_GB2312" w:cs="仿宋_GB2312"/>
          <w:b w:val="0"/>
          <w:bCs w:val="0"/>
          <w:kern w:val="2"/>
          <w:sz w:val="32"/>
          <w:szCs w:val="32"/>
          <w:highlight w:val="yellow"/>
          <w:lang w:val="en-US" w:eastAsia="zh-CN" w:bidi="ar-SA"/>
        </w:rPr>
      </w:pPr>
      <w:r>
        <w:rPr>
          <w:rFonts w:hint="eastAsia" w:ascii="仿宋_GB2312" w:hAnsi="宋体" w:eastAsia="仿宋_GB2312" w:cs="仿宋_GB2312"/>
          <w:b w:val="0"/>
          <w:bCs w:val="0"/>
          <w:kern w:val="2"/>
          <w:sz w:val="32"/>
          <w:szCs w:val="32"/>
          <w:highlight w:val="none"/>
          <w:lang w:val="en-US" w:eastAsia="zh-CN" w:bidi="ar-SA"/>
        </w:rPr>
        <w:t>根据</w:t>
      </w:r>
      <w:r>
        <w:rPr>
          <w:rFonts w:hint="eastAsia" w:ascii="仿宋" w:hAnsi="仿宋" w:eastAsia="仿宋" w:cs="仿宋"/>
          <w:b w:val="0"/>
          <w:kern w:val="2"/>
          <w:sz w:val="32"/>
          <w:szCs w:val="32"/>
          <w:lang w:val="en-US" w:eastAsia="zh-CN" w:bidi="ar-SA"/>
        </w:rPr>
        <w:t>《关于批复南昌市社会福利院服务对象生活区提升</w:t>
      </w:r>
      <w:r>
        <w:rPr>
          <w:rFonts w:hint="eastAsia" w:ascii="仿宋" w:hAnsi="仿宋" w:eastAsia="仿宋" w:cs="仿宋"/>
          <w:b w:val="0"/>
          <w:kern w:val="2"/>
          <w:sz w:val="32"/>
          <w:szCs w:val="32"/>
          <w:highlight w:val="none"/>
          <w:lang w:val="en-US" w:eastAsia="zh-CN" w:bidi="ar-SA"/>
        </w:rPr>
        <w:t>改造初步设计及概算审查的函》（洪行审投字〔2019〕268号）等要求，</w:t>
      </w:r>
      <w:r>
        <w:rPr>
          <w:rFonts w:hint="eastAsia" w:ascii="仿宋_GB2312" w:hAnsi="宋体" w:eastAsia="仿宋_GB2312" w:cs="仿宋_GB2312"/>
          <w:b w:val="0"/>
          <w:bCs w:val="0"/>
          <w:kern w:val="2"/>
          <w:sz w:val="32"/>
          <w:szCs w:val="32"/>
          <w:highlight w:val="none"/>
          <w:lang w:val="en-US" w:eastAsia="zh-CN" w:bidi="ar-SA"/>
        </w:rPr>
        <w:t>2025年度需完成地下室桥架792米工程建设任务。截至2025年12月31日，福利院已按要求开展了上述桥架建设工作，该任务已完成。</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（3）养育楼配电箱购置</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6分，得分6分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宋体" w:eastAsia="仿宋_GB2312" w:cs="仿宋_GB2312"/>
          <w:b w:val="0"/>
          <w:bCs w:val="0"/>
          <w:kern w:val="2"/>
          <w:sz w:val="32"/>
          <w:szCs w:val="32"/>
          <w:highlight w:val="yellow"/>
          <w:lang w:val="en-US" w:eastAsia="zh-CN" w:bidi="ar-SA"/>
        </w:rPr>
      </w:pPr>
      <w:r>
        <w:rPr>
          <w:rFonts w:hint="eastAsia" w:ascii="仿宋_GB2312" w:hAnsi="宋体" w:eastAsia="仿宋_GB2312" w:cs="仿宋_GB2312"/>
          <w:b w:val="0"/>
          <w:bCs w:val="0"/>
          <w:kern w:val="2"/>
          <w:sz w:val="32"/>
          <w:szCs w:val="32"/>
          <w:highlight w:val="none"/>
          <w:lang w:val="en-US" w:eastAsia="zh-CN" w:bidi="ar-SA"/>
        </w:rPr>
        <w:t>根据</w:t>
      </w:r>
      <w:r>
        <w:rPr>
          <w:rFonts w:hint="eastAsia" w:ascii="仿宋" w:hAnsi="仿宋" w:eastAsia="仿宋" w:cs="仿宋"/>
          <w:b w:val="0"/>
          <w:kern w:val="2"/>
          <w:sz w:val="32"/>
          <w:szCs w:val="32"/>
          <w:lang w:val="en-US" w:eastAsia="zh-CN" w:bidi="ar-SA"/>
        </w:rPr>
        <w:t>《关于批复南昌市社会福利院服务对象生活区提升</w:t>
      </w:r>
      <w:r>
        <w:rPr>
          <w:rFonts w:hint="eastAsia" w:ascii="仿宋" w:hAnsi="仿宋" w:eastAsia="仿宋" w:cs="仿宋"/>
          <w:b w:val="0"/>
          <w:kern w:val="2"/>
          <w:sz w:val="32"/>
          <w:szCs w:val="32"/>
          <w:highlight w:val="none"/>
          <w:lang w:val="en-US" w:eastAsia="zh-CN" w:bidi="ar-SA"/>
        </w:rPr>
        <w:t>改造初步设计及概算审查的函》（洪行审投字〔2019〕268号）等要求，</w:t>
      </w:r>
      <w:r>
        <w:rPr>
          <w:rFonts w:hint="eastAsia" w:ascii="仿宋_GB2312" w:hAnsi="宋体" w:eastAsia="仿宋_GB2312" w:cs="仿宋_GB2312"/>
          <w:b w:val="0"/>
          <w:bCs w:val="0"/>
          <w:kern w:val="2"/>
          <w:sz w:val="32"/>
          <w:szCs w:val="32"/>
          <w:highlight w:val="none"/>
          <w:lang w:val="en-US" w:eastAsia="zh-CN" w:bidi="ar-SA"/>
        </w:rPr>
        <w:t>2025年度需购置养育楼配电箱12台。截至2025年12月31日，福利院已按要求购置配电箱12台，该任务已完成。</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jc w:val="left"/>
        <w:textAlignment w:val="auto"/>
        <w:outlineLvl w:val="9"/>
        <w:rPr>
          <w:rFonts w:hint="eastAsia" w:ascii="仿宋_GB2312" w:hAnsi="宋体" w:eastAsia="仿宋_GB2312" w:cs="仿宋_GB2312"/>
          <w:b/>
          <w:bCs/>
          <w:kern w:val="2"/>
          <w:sz w:val="32"/>
          <w:szCs w:val="32"/>
          <w:highlight w:val="none"/>
          <w:lang w:val="en-US" w:eastAsia="zh-CN" w:bidi="ar-SA"/>
        </w:rPr>
      </w:pPr>
      <w:r>
        <w:rPr>
          <w:rFonts w:hint="eastAsia" w:ascii="仿宋_GB2312" w:hAnsi="宋体" w:eastAsia="仿宋_GB2312" w:cs="仿宋_GB2312"/>
          <w:b/>
          <w:bCs/>
          <w:kern w:val="2"/>
          <w:sz w:val="32"/>
          <w:szCs w:val="32"/>
          <w:highlight w:val="none"/>
          <w:lang w:val="en-US" w:eastAsia="zh-CN" w:bidi="ar-SA"/>
        </w:rPr>
        <w:t>2.产出质量</w:t>
      </w:r>
      <w:r>
        <w:rPr>
          <w:rFonts w:hint="eastAsia" w:ascii="仿宋_GB2312" w:hAnsi="宋体" w:eastAsia="仿宋_GB2312" w:cs="仿宋_GB2312"/>
          <w:b/>
          <w:bCs/>
          <w:sz w:val="32"/>
          <w:szCs w:val="32"/>
          <w:lang w:eastAsia="zh-CN"/>
        </w:rPr>
        <w:t>（权重</w:t>
      </w:r>
      <w:r>
        <w:rPr>
          <w:rFonts w:hint="eastAsia" w:ascii="仿宋_GB2312" w:hAnsi="宋体" w:eastAsia="仿宋_GB2312" w:cs="仿宋_GB2312"/>
          <w:b/>
          <w:bCs/>
          <w:sz w:val="32"/>
          <w:szCs w:val="32"/>
          <w:lang w:val="en-US" w:eastAsia="zh-CN"/>
        </w:rPr>
        <w:t>8分，得分8分</w:t>
      </w:r>
      <w:r>
        <w:rPr>
          <w:rFonts w:hint="eastAsia" w:ascii="仿宋_GB2312" w:hAnsi="宋体" w:eastAsia="仿宋_GB2312" w:cs="仿宋_GB2312"/>
          <w:b/>
          <w:bCs/>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outlineLvl w:val="9"/>
        <w:rPr>
          <w:rFonts w:hint="default" w:ascii="仿宋_GB2312" w:hAnsi="宋体" w:eastAsia="仿宋_GB2312" w:cs="仿宋_GB2312"/>
          <w:b w:val="0"/>
          <w:bCs w:val="0"/>
          <w:color w:val="auto"/>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highlight w:val="none"/>
          <w:lang w:val="en-US" w:eastAsia="zh-CN" w:bidi="ar-SA"/>
        </w:rPr>
        <w:t>工程阶段性验收合格率：根据项目年初目标，工程阶段性验收合格率应达到100%，根据项目验收的记录表，该项目工程阶段性验收均已合格，较好的完成了年初目标任务。</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jc w:val="left"/>
        <w:textAlignment w:val="auto"/>
        <w:outlineLvl w:val="9"/>
        <w:rPr>
          <w:rFonts w:hint="eastAsia" w:ascii="仿宋_GB2312" w:hAnsi="宋体" w:eastAsia="仿宋_GB2312" w:cs="仿宋_GB2312"/>
          <w:b/>
          <w:bCs/>
          <w:color w:val="auto"/>
          <w:kern w:val="2"/>
          <w:sz w:val="32"/>
          <w:szCs w:val="32"/>
          <w:highlight w:val="none"/>
          <w:lang w:val="en-US" w:eastAsia="zh-CN" w:bidi="ar-SA"/>
        </w:rPr>
      </w:pPr>
      <w:r>
        <w:rPr>
          <w:rFonts w:hint="eastAsia" w:ascii="仿宋_GB2312" w:hAnsi="宋体" w:eastAsia="仿宋_GB2312" w:cs="仿宋_GB2312"/>
          <w:b/>
          <w:bCs/>
          <w:color w:val="auto"/>
          <w:kern w:val="2"/>
          <w:sz w:val="32"/>
          <w:szCs w:val="32"/>
          <w:highlight w:val="none"/>
          <w:lang w:val="en-US" w:eastAsia="zh-CN" w:bidi="ar-SA"/>
        </w:rPr>
        <w:t>3.产出时效</w:t>
      </w:r>
      <w:r>
        <w:rPr>
          <w:rFonts w:hint="eastAsia" w:ascii="仿宋_GB2312" w:hAnsi="宋体" w:eastAsia="仿宋_GB2312" w:cs="仿宋_GB2312"/>
          <w:b/>
          <w:bCs/>
          <w:sz w:val="32"/>
          <w:szCs w:val="32"/>
          <w:lang w:eastAsia="zh-CN"/>
        </w:rPr>
        <w:t>（权重</w:t>
      </w:r>
      <w:r>
        <w:rPr>
          <w:rFonts w:hint="eastAsia" w:ascii="仿宋_GB2312" w:hAnsi="宋体" w:eastAsia="仿宋_GB2312" w:cs="仿宋_GB2312"/>
          <w:b/>
          <w:bCs/>
          <w:sz w:val="32"/>
          <w:szCs w:val="32"/>
          <w:lang w:val="en-US" w:eastAsia="zh-CN"/>
        </w:rPr>
        <w:t>8分，得分8分</w:t>
      </w:r>
      <w:r>
        <w:rPr>
          <w:rFonts w:hint="eastAsia" w:ascii="仿宋_GB2312" w:hAnsi="宋体" w:eastAsia="仿宋_GB2312" w:cs="仿宋_GB2312"/>
          <w:b/>
          <w:bCs/>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宋体" w:eastAsia="仿宋_GB2312" w:cs="仿宋_GB2312"/>
          <w:b w:val="0"/>
          <w:bCs w:val="0"/>
          <w:color w:val="auto"/>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highlight w:val="none"/>
          <w:lang w:val="en-US" w:eastAsia="zh-CN" w:bidi="ar-SA"/>
        </w:rPr>
        <w:t>工程建设完成及时率。经评价，项目单位2025年度在规定期限内及时完成了各项工程建设任务，工程建设完成及时率达到了100%。</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jc w:val="left"/>
        <w:textAlignment w:val="auto"/>
        <w:outlineLvl w:val="9"/>
        <w:rPr>
          <w:rFonts w:hint="eastAsia" w:ascii="仿宋_GB2312" w:hAnsi="宋体" w:eastAsia="仿宋_GB2312" w:cs="仿宋_GB2312"/>
          <w:b/>
          <w:bCs/>
          <w:color w:val="auto"/>
          <w:kern w:val="2"/>
          <w:sz w:val="32"/>
          <w:szCs w:val="32"/>
          <w:highlight w:val="none"/>
          <w:lang w:val="en-US" w:eastAsia="zh-CN" w:bidi="ar-SA"/>
        </w:rPr>
      </w:pPr>
      <w:r>
        <w:rPr>
          <w:rFonts w:hint="eastAsia" w:ascii="仿宋_GB2312" w:hAnsi="宋体" w:eastAsia="仿宋_GB2312" w:cs="仿宋_GB2312"/>
          <w:b/>
          <w:bCs/>
          <w:color w:val="auto"/>
          <w:kern w:val="2"/>
          <w:sz w:val="32"/>
          <w:szCs w:val="32"/>
          <w:highlight w:val="none"/>
          <w:lang w:val="en-US" w:eastAsia="zh-CN" w:bidi="ar-SA"/>
        </w:rPr>
        <w:t>4.产出成本</w:t>
      </w:r>
      <w:r>
        <w:rPr>
          <w:rFonts w:hint="eastAsia" w:ascii="仿宋_GB2312" w:hAnsi="宋体" w:eastAsia="仿宋_GB2312" w:cs="仿宋_GB2312"/>
          <w:b/>
          <w:bCs/>
          <w:sz w:val="32"/>
          <w:szCs w:val="32"/>
          <w:lang w:eastAsia="zh-CN"/>
        </w:rPr>
        <w:t>（权重</w:t>
      </w:r>
      <w:r>
        <w:rPr>
          <w:rFonts w:hint="eastAsia" w:ascii="仿宋_GB2312" w:hAnsi="宋体" w:eastAsia="仿宋_GB2312" w:cs="仿宋_GB2312"/>
          <w:b/>
          <w:bCs/>
          <w:sz w:val="32"/>
          <w:szCs w:val="32"/>
          <w:lang w:val="en-US" w:eastAsia="zh-CN"/>
        </w:rPr>
        <w:t>6分，得分6分</w:t>
      </w:r>
      <w:r>
        <w:rPr>
          <w:rFonts w:hint="eastAsia" w:ascii="仿宋_GB2312" w:hAnsi="宋体"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项目年度成本控制情况：本年度市福利院服务对象生活区提升改造项目年初安排预算2916.73万元，本年度实际支出2916.73万元，未超年度预算，成本控制情况较好。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b w:val="0"/>
          <w:bCs/>
          <w:kern w:val="2"/>
          <w:sz w:val="32"/>
          <w:szCs w:val="24"/>
          <w:highlight w:val="none"/>
          <w:lang w:val="en-US" w:eastAsia="zh-CN" w:bidi="ar-SA"/>
        </w:rPr>
      </w:pPr>
      <w:bookmarkStart w:id="32" w:name="_Toc10019"/>
      <w:r>
        <w:rPr>
          <w:rFonts w:hint="eastAsia" w:ascii="黑体" w:hAnsi="黑体" w:eastAsia="黑体" w:cs="黑体"/>
          <w:b w:val="0"/>
          <w:bCs/>
          <w:kern w:val="2"/>
          <w:sz w:val="32"/>
          <w:szCs w:val="24"/>
          <w:highlight w:val="none"/>
          <w:lang w:val="en-US" w:eastAsia="zh-CN" w:bidi="ar-SA"/>
        </w:rPr>
        <w:t>（</w:t>
      </w:r>
      <w:r>
        <w:rPr>
          <w:rFonts w:hint="eastAsia" w:ascii="楷体_GB2312" w:hAnsi="楷体_GB2312" w:eastAsia="楷体_GB2312" w:cs="楷体_GB2312"/>
          <w:b/>
          <w:color w:val="000000"/>
          <w:kern w:val="2"/>
          <w:sz w:val="32"/>
          <w:szCs w:val="32"/>
          <w:highlight w:val="none"/>
          <w:lang w:val="en-US" w:eastAsia="zh-CN" w:bidi="ar-SA"/>
        </w:rPr>
        <w:t>四）项目效益情况</w:t>
      </w:r>
      <w:bookmarkEnd w:id="32"/>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jc w:val="left"/>
        <w:textAlignment w:val="auto"/>
        <w:outlineLvl w:val="9"/>
        <w:rPr>
          <w:rFonts w:hint="default" w:ascii="仿宋_GB2312" w:hAnsi="宋体" w:eastAsia="仿宋_GB2312" w:cs="仿宋_GB2312"/>
          <w:b/>
          <w:bCs/>
          <w:kern w:val="2"/>
          <w:sz w:val="32"/>
          <w:szCs w:val="32"/>
          <w:highlight w:val="none"/>
          <w:lang w:val="en-US" w:eastAsia="zh-CN" w:bidi="ar-SA"/>
        </w:rPr>
      </w:pPr>
      <w:r>
        <w:rPr>
          <w:rFonts w:hint="eastAsia" w:ascii="仿宋_GB2312" w:hAnsi="宋体" w:eastAsia="仿宋_GB2312" w:cs="仿宋_GB2312"/>
          <w:b/>
          <w:bCs/>
          <w:kern w:val="2"/>
          <w:sz w:val="32"/>
          <w:szCs w:val="32"/>
          <w:highlight w:val="none"/>
          <w:lang w:val="en-US" w:eastAsia="zh-CN" w:bidi="ar-SA"/>
        </w:rPr>
        <w:t>1.社会效益</w:t>
      </w:r>
      <w:r>
        <w:rPr>
          <w:rFonts w:hint="eastAsia" w:ascii="仿宋_GB2312" w:hAnsi="宋体" w:eastAsia="仿宋_GB2312" w:cs="仿宋_GB2312"/>
          <w:b/>
          <w:bCs/>
          <w:sz w:val="32"/>
          <w:szCs w:val="32"/>
          <w:lang w:eastAsia="zh-CN"/>
        </w:rPr>
        <w:t>（权重</w:t>
      </w:r>
      <w:r>
        <w:rPr>
          <w:rFonts w:hint="eastAsia" w:ascii="仿宋_GB2312" w:hAnsi="宋体" w:eastAsia="仿宋_GB2312" w:cs="仿宋_GB2312"/>
          <w:b/>
          <w:bCs/>
          <w:sz w:val="32"/>
          <w:szCs w:val="32"/>
          <w:lang w:val="en-US" w:eastAsia="zh-CN"/>
        </w:rPr>
        <w:t>10分，得分8分</w:t>
      </w:r>
      <w:r>
        <w:rPr>
          <w:rFonts w:hint="eastAsia" w:ascii="仿宋_GB2312" w:hAnsi="宋体" w:eastAsia="仿宋_GB2312" w:cs="仿宋_GB2312"/>
          <w:b/>
          <w:bCs/>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服务对象居住环境明显改善</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该项目建成投入使用后，改善了院服务对象生活条件，功能分区明显，</w:t>
      </w:r>
      <w:r>
        <w:rPr>
          <w:rFonts w:hint="default" w:ascii="仿宋_GB2312" w:hAnsi="宋体" w:eastAsia="仿宋_GB2312" w:cs="仿宋_GB2312"/>
          <w:b w:val="0"/>
          <w:bCs w:val="0"/>
          <w:kern w:val="2"/>
          <w:sz w:val="32"/>
          <w:szCs w:val="32"/>
          <w:highlight w:val="none"/>
          <w:lang w:val="en-US" w:eastAsia="zh-CN" w:bidi="ar-SA"/>
        </w:rPr>
        <w:t>但是仍有可提高空间扣2分。</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jc w:val="left"/>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bCs/>
          <w:kern w:val="2"/>
          <w:sz w:val="32"/>
          <w:szCs w:val="32"/>
          <w:highlight w:val="none"/>
          <w:lang w:val="en-US" w:eastAsia="zh-CN" w:bidi="ar-SA"/>
        </w:rPr>
        <w:t>2.满意度</w:t>
      </w:r>
      <w:r>
        <w:rPr>
          <w:rFonts w:hint="eastAsia" w:ascii="仿宋_GB2312" w:hAnsi="宋体" w:eastAsia="仿宋_GB2312" w:cs="仿宋_GB2312"/>
          <w:b/>
          <w:bCs/>
          <w:sz w:val="32"/>
          <w:szCs w:val="32"/>
          <w:highlight w:val="none"/>
          <w:lang w:eastAsia="zh-CN"/>
        </w:rPr>
        <w:t>（权重</w:t>
      </w:r>
      <w:r>
        <w:rPr>
          <w:rFonts w:hint="eastAsia" w:ascii="仿宋_GB2312" w:hAnsi="宋体" w:eastAsia="仿宋_GB2312" w:cs="仿宋_GB2312"/>
          <w:b/>
          <w:bCs/>
          <w:sz w:val="32"/>
          <w:szCs w:val="32"/>
          <w:highlight w:val="none"/>
          <w:lang w:val="en-US" w:eastAsia="zh-CN"/>
        </w:rPr>
        <w:t>6分，得分6分</w:t>
      </w:r>
      <w:r>
        <w:rPr>
          <w:rFonts w:hint="eastAsia" w:ascii="仿宋_GB2312" w:hAnsi="宋体" w:eastAsia="仿宋_GB2312" w:cs="仿宋_GB2312"/>
          <w:b/>
          <w:bCs/>
          <w:sz w:val="32"/>
          <w:szCs w:val="32"/>
          <w:highlight w:val="none"/>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该建设项目已投入使用，利于孤残儿童康复训练和技能培训的持续稳定开展，缓解其功能退化，减轻社会负担，进一步改善孤残儿童康复训练和生活的条件和水平，使孤残儿童得到更好的救助和关爱，孤儿满意度较好，满意度达96.4%，仍有可提升空间，将持续继续做好孤残儿童福利保障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本次调查共收回有效问卷</w:t>
      </w:r>
      <w:r>
        <w:rPr>
          <w:rFonts w:hint="eastAsia" w:ascii="仿宋_GB2312" w:hAnsi="仿宋_GB2312" w:eastAsia="仿宋_GB2312" w:cs="仿宋_GB2312"/>
          <w:bCs/>
          <w:sz w:val="32"/>
          <w:szCs w:val="32"/>
          <w:highlight w:val="none"/>
          <w:lang w:val="en-US" w:eastAsia="zh-CN"/>
        </w:rPr>
        <w:t>20</w:t>
      </w:r>
      <w:r>
        <w:rPr>
          <w:rFonts w:hint="eastAsia" w:ascii="仿宋_GB2312" w:hAnsi="仿宋_GB2312" w:eastAsia="仿宋_GB2312" w:cs="仿宋_GB2312"/>
          <w:bCs/>
          <w:sz w:val="32"/>
          <w:szCs w:val="32"/>
          <w:highlight w:val="none"/>
        </w:rPr>
        <w:t>份，服务满意度指标达</w:t>
      </w:r>
      <w:r>
        <w:rPr>
          <w:rFonts w:hint="eastAsia" w:ascii="仿宋_GB2312" w:hAnsi="仿宋_GB2312" w:eastAsia="仿宋_GB2312" w:cs="仿宋_GB2312"/>
          <w:bCs/>
          <w:sz w:val="32"/>
          <w:szCs w:val="32"/>
          <w:highlight w:val="none"/>
          <w:lang w:val="en-US" w:eastAsia="zh-CN"/>
        </w:rPr>
        <w:t>96.4</w:t>
      </w:r>
      <w:r>
        <w:rPr>
          <w:rFonts w:hint="eastAsia" w:ascii="仿宋_GB2312" w:hAnsi="仿宋_GB2312" w:eastAsia="仿宋_GB2312" w:cs="仿宋_GB2312"/>
          <w:bCs/>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南昌市</w:t>
      </w:r>
      <w:r>
        <w:rPr>
          <w:rFonts w:hint="eastAsia" w:ascii="仿宋_GB2312" w:hAnsi="仿宋_GB2312" w:eastAsia="仿宋_GB2312" w:cs="仿宋_GB2312"/>
          <w:bCs/>
          <w:sz w:val="32"/>
          <w:szCs w:val="32"/>
          <w:lang w:eastAsia="zh-CN"/>
        </w:rPr>
        <w:t>社会福利院</w:t>
      </w:r>
      <w:r>
        <w:rPr>
          <w:rFonts w:hint="eastAsia" w:ascii="仿宋_GB2312" w:hAnsi="仿宋_GB2312" w:eastAsia="仿宋_GB2312" w:cs="仿宋_GB2312"/>
          <w:bCs/>
          <w:sz w:val="32"/>
          <w:szCs w:val="32"/>
        </w:rPr>
        <w:t>项目调查问卷共设置5个满意度问题，根据公式∑（五星数*5+四星数*4+三星数*3+二星数*2+一星数*1）/（20*5）*100%，对5个问题满意度进行计算再加权平</w:t>
      </w:r>
      <w:r>
        <w:rPr>
          <w:rFonts w:hint="eastAsia" w:ascii="仿宋_GB2312" w:hAnsi="仿宋_GB2312" w:eastAsia="仿宋_GB2312" w:cs="仿宋_GB2312"/>
          <w:bCs/>
          <w:sz w:val="32"/>
          <w:szCs w:val="32"/>
          <w:highlight w:val="none"/>
        </w:rPr>
        <w:t>均后得出综合满意度为</w:t>
      </w:r>
      <w:r>
        <w:rPr>
          <w:rFonts w:hint="eastAsia" w:ascii="仿宋_GB2312" w:hAnsi="仿宋_GB2312" w:eastAsia="仿宋_GB2312" w:cs="仿宋_GB2312"/>
          <w:bCs/>
          <w:sz w:val="32"/>
          <w:szCs w:val="32"/>
          <w:highlight w:val="none"/>
          <w:lang w:val="en-US" w:eastAsia="zh-CN"/>
        </w:rPr>
        <w:t>96.4</w:t>
      </w:r>
      <w:r>
        <w:rPr>
          <w:rFonts w:hint="eastAsia" w:ascii="仿宋_GB2312" w:hAnsi="仿宋_GB2312" w:eastAsia="仿宋_GB2312" w:cs="仿宋_GB2312"/>
          <w:bCs/>
          <w:sz w:val="32"/>
          <w:szCs w:val="32"/>
          <w:highlight w:val="none"/>
        </w:rPr>
        <w:t>%，根据评分标准，该</w:t>
      </w:r>
      <w:r>
        <w:rPr>
          <w:rFonts w:hint="eastAsia" w:ascii="仿宋_GB2312" w:hAnsi="仿宋_GB2312" w:eastAsia="仿宋_GB2312" w:cs="仿宋_GB2312"/>
          <w:bCs/>
          <w:sz w:val="32"/>
          <w:szCs w:val="32"/>
        </w:rPr>
        <w:t>指标得满分。具体调查数据汇总如下：</w:t>
      </w:r>
    </w:p>
    <w:p>
      <w:pPr>
        <w:spacing w:line="560" w:lineRule="exact"/>
        <w:jc w:val="center"/>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lang w:val="en-US" w:eastAsia="zh-CN"/>
        </w:rPr>
        <w:t>服务对象生活区提升改造项目</w:t>
      </w:r>
      <w:r>
        <w:rPr>
          <w:rFonts w:hint="eastAsia" w:ascii="仿宋_GB2312" w:hAnsi="仿宋_GB2312" w:eastAsia="仿宋_GB2312" w:cs="仿宋_GB2312"/>
          <w:b/>
          <w:bCs w:val="0"/>
          <w:sz w:val="32"/>
          <w:szCs w:val="32"/>
        </w:rPr>
        <w:t>满意度调查情况表</w:t>
      </w:r>
    </w:p>
    <w:tbl>
      <w:tblPr>
        <w:tblStyle w:val="11"/>
        <w:tblW w:w="8640" w:type="dxa"/>
        <w:jc w:val="center"/>
        <w:tblInd w:w="0" w:type="dxa"/>
        <w:tblLayout w:type="fixed"/>
        <w:tblCellMar>
          <w:top w:w="0" w:type="dxa"/>
          <w:left w:w="108" w:type="dxa"/>
          <w:bottom w:w="0" w:type="dxa"/>
          <w:right w:w="108" w:type="dxa"/>
        </w:tblCellMar>
      </w:tblPr>
      <w:tblGrid>
        <w:gridCol w:w="503"/>
        <w:gridCol w:w="2625"/>
        <w:gridCol w:w="1057"/>
        <w:gridCol w:w="885"/>
        <w:gridCol w:w="803"/>
        <w:gridCol w:w="825"/>
        <w:gridCol w:w="840"/>
        <w:gridCol w:w="1102"/>
      </w:tblGrid>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4F81BD"/>
            <w:noWrap/>
            <w:vAlign w:val="center"/>
          </w:tcPr>
          <w:p>
            <w:pPr>
              <w:widowControl/>
              <w:jc w:val="center"/>
              <w:textAlignment w:val="center"/>
              <w:rPr>
                <w:rFonts w:ascii="宋体" w:hAnsi="宋体" w:cs="宋体"/>
                <w:b/>
                <w:bCs/>
                <w:color w:val="000000"/>
                <w:sz w:val="20"/>
              </w:rPr>
            </w:pPr>
            <w:r>
              <w:rPr>
                <w:rFonts w:hint="eastAsia" w:ascii="宋体" w:hAnsi="宋体" w:cs="宋体"/>
                <w:b/>
                <w:bCs/>
                <w:color w:val="000000"/>
                <w:kern w:val="0"/>
                <w:sz w:val="20"/>
              </w:rPr>
              <w:t>序号</w:t>
            </w:r>
          </w:p>
        </w:tc>
        <w:tc>
          <w:tcPr>
            <w:tcW w:w="2625"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color w:val="000000"/>
                <w:sz w:val="20"/>
              </w:rPr>
            </w:pPr>
            <w:r>
              <w:rPr>
                <w:rFonts w:hint="eastAsia" w:ascii="宋体" w:hAnsi="宋体" w:cs="宋体"/>
                <w:b/>
                <w:bCs/>
                <w:color w:val="000000"/>
                <w:kern w:val="0"/>
                <w:sz w:val="20"/>
              </w:rPr>
              <w:t>问题</w:t>
            </w:r>
          </w:p>
        </w:tc>
        <w:tc>
          <w:tcPr>
            <w:tcW w:w="1057"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kern w:val="0"/>
                <w:sz w:val="20"/>
              </w:rPr>
            </w:pPr>
            <w:r>
              <w:rPr>
                <w:rFonts w:hint="eastAsia" w:ascii="宋体" w:hAnsi="宋体" w:cs="宋体"/>
                <w:b/>
                <w:bCs/>
                <w:kern w:val="0"/>
                <w:sz w:val="20"/>
              </w:rPr>
              <w:t>非常</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885"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kern w:val="0"/>
                <w:sz w:val="20"/>
              </w:rPr>
            </w:pPr>
            <w:r>
              <w:rPr>
                <w:rFonts w:hint="eastAsia" w:ascii="宋体" w:hAnsi="宋体" w:cs="宋体"/>
                <w:b/>
                <w:bCs/>
                <w:kern w:val="0"/>
                <w:sz w:val="20"/>
              </w:rPr>
              <w:t>比较</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803"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kern w:val="0"/>
                <w:sz w:val="20"/>
              </w:rPr>
            </w:pPr>
            <w:r>
              <w:rPr>
                <w:rFonts w:hint="eastAsia" w:ascii="宋体" w:hAnsi="宋体" w:cs="宋体"/>
                <w:b/>
                <w:bCs/>
                <w:kern w:val="0"/>
                <w:sz w:val="20"/>
              </w:rPr>
              <w:t>一般</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825"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hint="eastAsia" w:ascii="宋体" w:hAnsi="宋体" w:eastAsia="宋体" w:cs="宋体"/>
                <w:b/>
                <w:bCs/>
                <w:kern w:val="0"/>
                <w:sz w:val="20"/>
                <w:lang w:eastAsia="zh-CN"/>
              </w:rPr>
            </w:pPr>
            <w:r>
              <w:rPr>
                <w:rFonts w:hint="eastAsia" w:ascii="宋体" w:hAnsi="宋体" w:cs="宋体"/>
                <w:b/>
                <w:bCs/>
                <w:kern w:val="0"/>
                <w:sz w:val="20"/>
              </w:rPr>
              <w:t>比较</w:t>
            </w:r>
            <w:r>
              <w:rPr>
                <w:rFonts w:hint="eastAsia" w:ascii="宋体" w:hAnsi="宋体" w:cs="宋体"/>
                <w:b/>
                <w:bCs/>
                <w:kern w:val="0"/>
                <w:sz w:val="20"/>
                <w:lang w:eastAsia="zh-CN"/>
              </w:rPr>
              <w:t>不</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840"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hint="eastAsia" w:ascii="宋体" w:hAnsi="宋体" w:eastAsia="宋体" w:cs="宋体"/>
                <w:b/>
                <w:bCs/>
                <w:kern w:val="0"/>
                <w:sz w:val="20"/>
                <w:lang w:eastAsia="zh-CN"/>
              </w:rPr>
            </w:pPr>
            <w:r>
              <w:rPr>
                <w:rFonts w:hint="eastAsia" w:ascii="宋体" w:hAnsi="宋体" w:cs="宋体"/>
                <w:b/>
                <w:bCs/>
                <w:kern w:val="0"/>
                <w:sz w:val="20"/>
              </w:rPr>
              <w:t>非常</w:t>
            </w:r>
            <w:r>
              <w:rPr>
                <w:rFonts w:hint="eastAsia" w:ascii="宋体" w:hAnsi="宋体" w:cs="宋体"/>
                <w:b/>
                <w:bCs/>
                <w:kern w:val="0"/>
                <w:sz w:val="20"/>
                <w:lang w:eastAsia="zh-CN"/>
              </w:rPr>
              <w:t>不</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1102"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color w:val="000000"/>
                <w:sz w:val="20"/>
              </w:rPr>
            </w:pPr>
            <w:r>
              <w:rPr>
                <w:rFonts w:hint="eastAsia" w:ascii="宋体" w:hAnsi="宋体" w:cs="宋体"/>
                <w:b/>
                <w:bCs/>
                <w:color w:val="000000"/>
                <w:kern w:val="0"/>
                <w:sz w:val="20"/>
              </w:rPr>
              <w:t>满意度</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1</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b w:val="0"/>
                <w:color w:val="000000"/>
                <w:sz w:val="24"/>
              </w:rPr>
              <w:t xml:space="preserve"> </w:t>
            </w:r>
            <w:r>
              <w:rPr>
                <w:rFonts w:hint="eastAsia" w:ascii="宋体" w:hAnsi="宋体" w:cs="宋体"/>
                <w:color w:val="000000"/>
                <w:sz w:val="22"/>
                <w:szCs w:val="22"/>
                <w:lang w:eastAsia="zh-CN"/>
              </w:rPr>
              <w:t>您对我们</w:t>
            </w:r>
            <w:r>
              <w:rPr>
                <w:rFonts w:hint="eastAsia" w:ascii="宋体" w:hAnsi="宋体" w:cs="宋体"/>
                <w:color w:val="000000"/>
                <w:sz w:val="22"/>
                <w:szCs w:val="22"/>
                <w:lang w:val="en-US" w:eastAsia="zh-CN"/>
              </w:rPr>
              <w:t>服务对象生活区提升改造</w:t>
            </w:r>
            <w:r>
              <w:rPr>
                <w:rFonts w:hint="eastAsia" w:ascii="宋体" w:hAnsi="宋体" w:cs="宋体"/>
                <w:color w:val="000000"/>
                <w:sz w:val="22"/>
                <w:szCs w:val="22"/>
                <w:lang w:eastAsia="zh-CN"/>
              </w:rPr>
              <w:t>项目工作开展是否满意？</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lang w:val="en-US" w:eastAsia="zh-CN"/>
              </w:rPr>
              <w:t>60</w:t>
            </w:r>
            <w:r>
              <w:rPr>
                <w:rFonts w:hint="eastAsia" w:ascii="宋体" w:hAnsi="宋体" w:cs="宋体"/>
                <w:color w:val="000000"/>
                <w:sz w:val="22"/>
                <w:szCs w:val="22"/>
              </w:rPr>
              <w:t>.00%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35</w:t>
            </w:r>
            <w:r>
              <w:rPr>
                <w:rFonts w:hint="eastAsia" w:ascii="宋体" w:hAnsi="宋体" w:cs="宋体"/>
                <w:color w:val="000000"/>
                <w:kern w:val="0"/>
                <w:sz w:val="22"/>
                <w:szCs w:val="22"/>
              </w:rPr>
              <w:t>.00%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5</w:t>
            </w:r>
            <w:r>
              <w:rPr>
                <w:rFonts w:hint="eastAsia" w:ascii="宋体" w:hAnsi="宋体" w:cs="宋体"/>
                <w:color w:val="000000"/>
                <w:kern w:val="0"/>
                <w:sz w:val="22"/>
                <w:szCs w:val="22"/>
              </w:rPr>
              <w:t>.00%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9</w:t>
            </w:r>
            <w:r>
              <w:rPr>
                <w:rFonts w:hint="eastAsia" w:ascii="宋体" w:hAnsi="宋体" w:cs="宋体"/>
                <w:color w:val="000000"/>
                <w:kern w:val="0"/>
                <w:sz w:val="22"/>
                <w:szCs w:val="22"/>
                <w:lang w:val="en-US" w:eastAsia="zh-CN"/>
              </w:rPr>
              <w:t>2</w:t>
            </w:r>
            <w:r>
              <w:rPr>
                <w:rFonts w:hint="eastAsia" w:ascii="宋体" w:hAnsi="宋体" w:cs="宋体"/>
                <w:color w:val="000000"/>
                <w:kern w:val="0"/>
                <w:sz w:val="22"/>
                <w:szCs w:val="22"/>
              </w:rPr>
              <w:t>.00%</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2</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cs="宋体"/>
                <w:color w:val="000000"/>
                <w:sz w:val="22"/>
                <w:szCs w:val="22"/>
                <w:lang w:eastAsia="zh-CN"/>
              </w:rPr>
            </w:pPr>
            <w:r>
              <w:rPr>
                <w:rFonts w:hint="eastAsia" w:ascii="宋体" w:hAnsi="宋体" w:cs="宋体"/>
                <w:color w:val="000000"/>
                <w:sz w:val="22"/>
                <w:szCs w:val="22"/>
                <w:lang w:eastAsia="zh-CN"/>
              </w:rPr>
              <w:t>您对</w:t>
            </w:r>
            <w:r>
              <w:rPr>
                <w:rFonts w:hint="eastAsia" w:ascii="宋体" w:hAnsi="宋体" w:cs="宋体"/>
                <w:color w:val="000000"/>
                <w:sz w:val="22"/>
                <w:szCs w:val="22"/>
                <w:lang w:val="en-US" w:eastAsia="zh-CN"/>
              </w:rPr>
              <w:t>服务对象生活区设置</w:t>
            </w:r>
            <w:r>
              <w:rPr>
                <w:rFonts w:hint="eastAsia" w:ascii="宋体" w:hAnsi="宋体" w:cs="宋体"/>
                <w:color w:val="000000"/>
                <w:sz w:val="22"/>
                <w:szCs w:val="22"/>
                <w:lang w:eastAsia="zh-CN"/>
              </w:rPr>
              <w:t>的功能区是否满意？</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lang w:val="en-US" w:eastAsia="zh-CN"/>
              </w:rPr>
              <w:t>75.</w:t>
            </w:r>
            <w:r>
              <w:rPr>
                <w:rFonts w:hint="eastAsia" w:ascii="宋体" w:hAnsi="宋体" w:cs="宋体"/>
                <w:color w:val="000000"/>
                <w:sz w:val="22"/>
                <w:szCs w:val="22"/>
              </w:rPr>
              <w:t>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25</w:t>
            </w:r>
            <w:r>
              <w:rPr>
                <w:rFonts w:hint="eastAsia" w:ascii="宋体" w:hAnsi="宋体" w:cs="宋体"/>
                <w:color w:val="000000"/>
                <w:kern w:val="0"/>
                <w:sz w:val="22"/>
                <w:szCs w:val="22"/>
              </w:rPr>
              <w:t>.00%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95.00</w:t>
            </w:r>
            <w:r>
              <w:rPr>
                <w:rFonts w:hint="eastAsia" w:ascii="宋体" w:hAnsi="宋体" w:cs="宋体"/>
                <w:color w:val="000000"/>
                <w:kern w:val="0"/>
                <w:sz w:val="22"/>
                <w:szCs w:val="22"/>
              </w:rPr>
              <w:t>%</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3</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cs="宋体"/>
                <w:color w:val="000000"/>
                <w:sz w:val="22"/>
                <w:szCs w:val="22"/>
                <w:lang w:eastAsia="zh-CN"/>
              </w:rPr>
            </w:pPr>
            <w:r>
              <w:rPr>
                <w:rFonts w:hint="eastAsia" w:ascii="宋体" w:hAnsi="宋体" w:cs="宋体"/>
                <w:color w:val="000000"/>
                <w:sz w:val="22"/>
                <w:szCs w:val="22"/>
                <w:lang w:eastAsia="zh-CN"/>
              </w:rPr>
              <w:t xml:space="preserve"> 您</w:t>
            </w:r>
            <w:r>
              <w:rPr>
                <w:rFonts w:hint="eastAsia" w:ascii="宋体" w:hAnsi="宋体" w:cs="宋体"/>
                <w:color w:val="000000"/>
                <w:sz w:val="22"/>
                <w:szCs w:val="22"/>
                <w:lang w:val="en-US" w:eastAsia="zh-CN"/>
              </w:rPr>
              <w:t>服务对象生活区</w:t>
            </w:r>
            <w:r>
              <w:rPr>
                <w:rFonts w:hint="eastAsia" w:ascii="宋体" w:hAnsi="宋体" w:cs="宋体"/>
                <w:color w:val="000000"/>
                <w:sz w:val="22"/>
                <w:szCs w:val="22"/>
                <w:lang w:eastAsia="zh-CN"/>
              </w:rPr>
              <w:t>设环境是否满意？</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lang w:val="en-US" w:eastAsia="zh-CN"/>
              </w:rPr>
              <w:t>85</w:t>
            </w:r>
            <w:r>
              <w:rPr>
                <w:rFonts w:hint="eastAsia" w:ascii="宋体" w:hAnsi="宋体" w:cs="宋体"/>
                <w:color w:val="000000"/>
                <w:sz w:val="22"/>
                <w:szCs w:val="22"/>
              </w:rPr>
              <w:t>.00%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15</w:t>
            </w:r>
            <w:r>
              <w:rPr>
                <w:rFonts w:hint="eastAsia" w:ascii="宋体" w:hAnsi="宋体" w:cs="宋体"/>
                <w:color w:val="000000"/>
                <w:kern w:val="0"/>
                <w:sz w:val="22"/>
                <w:szCs w:val="22"/>
              </w:rPr>
              <w:t>.00%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9</w:t>
            </w:r>
            <w:r>
              <w:rPr>
                <w:rFonts w:hint="eastAsia" w:ascii="宋体" w:hAnsi="宋体" w:cs="宋体"/>
                <w:color w:val="000000"/>
                <w:kern w:val="0"/>
                <w:sz w:val="22"/>
                <w:szCs w:val="22"/>
                <w:lang w:val="en-US" w:eastAsia="zh-CN"/>
              </w:rPr>
              <w:t>7</w:t>
            </w:r>
            <w:r>
              <w:rPr>
                <w:rFonts w:hint="eastAsia" w:ascii="宋体" w:hAnsi="宋体" w:cs="宋体"/>
                <w:color w:val="000000"/>
                <w:kern w:val="0"/>
                <w:sz w:val="22"/>
                <w:szCs w:val="22"/>
              </w:rPr>
              <w:t>.00%</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4</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cs="宋体"/>
                <w:color w:val="000000"/>
                <w:sz w:val="22"/>
                <w:szCs w:val="22"/>
                <w:lang w:eastAsia="zh-CN"/>
              </w:rPr>
            </w:pPr>
            <w:r>
              <w:rPr>
                <w:rFonts w:hint="eastAsia" w:ascii="宋体" w:hAnsi="宋体" w:cs="宋体"/>
                <w:color w:val="000000"/>
                <w:sz w:val="22"/>
                <w:szCs w:val="22"/>
                <w:lang w:eastAsia="zh-CN"/>
              </w:rPr>
              <w:t xml:space="preserve"> 是否按时发放农民工工资？</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lang w:val="en-US" w:eastAsia="zh-CN"/>
              </w:rPr>
              <w:t>10</w:t>
            </w:r>
            <w:r>
              <w:rPr>
                <w:rFonts w:hint="eastAsia" w:ascii="宋体" w:hAnsi="宋体" w:cs="宋体"/>
                <w:color w:val="000000"/>
                <w:sz w:val="22"/>
                <w:szCs w:val="22"/>
              </w:rPr>
              <w:t>0.00%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0</w:t>
            </w:r>
            <w:r>
              <w:rPr>
                <w:rFonts w:hint="eastAsia" w:ascii="宋体" w:hAnsi="宋体" w:cs="宋体"/>
                <w:color w:val="000000"/>
                <w:kern w:val="0"/>
                <w:sz w:val="22"/>
                <w:szCs w:val="22"/>
              </w:rPr>
              <w:t>0.00%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100</w:t>
            </w:r>
            <w:r>
              <w:rPr>
                <w:rFonts w:hint="eastAsia" w:ascii="宋体" w:hAnsi="宋体" w:cs="宋体"/>
                <w:color w:val="000000"/>
                <w:kern w:val="0"/>
                <w:sz w:val="22"/>
                <w:szCs w:val="22"/>
              </w:rPr>
              <w:t>.00%</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5</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lang w:eastAsia="zh-CN"/>
              </w:rPr>
              <w:t>儿童福利院新址建设是否会改善您的居住条件？</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lang w:val="en-US" w:eastAsia="zh-CN"/>
              </w:rPr>
              <w:t>90</w:t>
            </w:r>
            <w:r>
              <w:rPr>
                <w:rFonts w:hint="eastAsia" w:ascii="宋体" w:hAnsi="宋体" w:cs="宋体"/>
                <w:color w:val="000000"/>
                <w:sz w:val="22"/>
                <w:szCs w:val="22"/>
              </w:rPr>
              <w:t>.00%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1</w:t>
            </w:r>
            <w:r>
              <w:rPr>
                <w:rFonts w:hint="eastAsia" w:ascii="宋体" w:hAnsi="宋体" w:cs="宋体"/>
                <w:color w:val="000000"/>
                <w:kern w:val="0"/>
                <w:sz w:val="22"/>
                <w:szCs w:val="22"/>
              </w:rPr>
              <w:t>0.00%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98</w:t>
            </w:r>
            <w:r>
              <w:rPr>
                <w:rFonts w:hint="eastAsia" w:ascii="宋体" w:hAnsi="宋体" w:cs="宋体"/>
                <w:color w:val="000000"/>
                <w:kern w:val="0"/>
                <w:sz w:val="22"/>
                <w:szCs w:val="22"/>
              </w:rPr>
              <w:t>.00%</w:t>
            </w:r>
          </w:p>
        </w:tc>
      </w:tr>
      <w:tr>
        <w:tblPrEx>
          <w:tblLayout w:type="fixed"/>
          <w:tblCellMar>
            <w:top w:w="0" w:type="dxa"/>
            <w:left w:w="108" w:type="dxa"/>
            <w:bottom w:w="0" w:type="dxa"/>
            <w:right w:w="108" w:type="dxa"/>
          </w:tblCellMar>
        </w:tblPrEx>
        <w:trPr>
          <w:trHeight w:val="900" w:hRule="atLeast"/>
          <w:jc w:val="center"/>
        </w:trPr>
        <w:tc>
          <w:tcPr>
            <w:tcW w:w="31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b/>
                <w:bCs/>
                <w:color w:val="000000"/>
                <w:sz w:val="22"/>
                <w:szCs w:val="22"/>
              </w:rPr>
            </w:pPr>
            <w:r>
              <w:rPr>
                <w:rFonts w:hint="eastAsia" w:ascii="宋体" w:hAnsi="宋体" w:cs="宋体"/>
                <w:b/>
                <w:bCs/>
                <w:color w:val="000000"/>
                <w:sz w:val="22"/>
                <w:szCs w:val="22"/>
              </w:rPr>
              <w:t>合计</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 w:val="22"/>
                <w:szCs w:val="22"/>
              </w:rPr>
            </w:pPr>
            <w:r>
              <w:rPr>
                <w:rFonts w:hint="eastAsia" w:ascii="宋体" w:hAnsi="宋体" w:cs="宋体"/>
                <w:b/>
                <w:bCs/>
                <w:color w:val="000000"/>
                <w:sz w:val="22"/>
                <w:szCs w:val="22"/>
                <w:lang w:val="en-US" w:eastAsia="zh-CN"/>
              </w:rPr>
              <w:t>82</w:t>
            </w:r>
            <w:r>
              <w:rPr>
                <w:rFonts w:hint="eastAsia" w:ascii="宋体" w:hAnsi="宋体" w:cs="宋体"/>
                <w:b/>
                <w:bCs/>
                <w:color w:val="000000"/>
                <w:sz w:val="22"/>
                <w:szCs w:val="22"/>
              </w:rPr>
              <w:t>.00%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lang w:val="en-US" w:eastAsia="zh-CN"/>
              </w:rPr>
              <w:t>17</w:t>
            </w:r>
            <w:r>
              <w:rPr>
                <w:rFonts w:hint="eastAsia" w:ascii="宋体" w:hAnsi="宋体" w:cs="宋体"/>
                <w:b/>
                <w:bCs/>
                <w:color w:val="000000"/>
                <w:kern w:val="0"/>
                <w:sz w:val="22"/>
                <w:szCs w:val="22"/>
              </w:rPr>
              <w:t>.00%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lang w:val="en-US" w:eastAsia="zh-CN"/>
              </w:rPr>
              <w:t>1</w:t>
            </w:r>
            <w:r>
              <w:rPr>
                <w:rFonts w:hint="eastAsia" w:ascii="宋体" w:hAnsi="宋体" w:cs="宋体"/>
                <w:b/>
                <w:bCs/>
                <w:color w:val="000000"/>
                <w:kern w:val="0"/>
                <w:sz w:val="22"/>
                <w:szCs w:val="22"/>
              </w:rPr>
              <w:t>.00%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lang w:val="en-US" w:eastAsia="zh-CN"/>
              </w:rPr>
              <w:t>96.4</w:t>
            </w:r>
            <w:r>
              <w:rPr>
                <w:rFonts w:hint="eastAsia" w:ascii="宋体" w:hAnsi="宋体" w:cs="宋体"/>
                <w:b/>
                <w:bCs/>
                <w:color w:val="000000"/>
                <w:kern w:val="0"/>
                <w:sz w:val="22"/>
                <w:szCs w:val="22"/>
              </w:rPr>
              <w:t>0%</w:t>
            </w: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olor w:val="000000"/>
          <w:sz w:val="32"/>
          <w:szCs w:val="32"/>
          <w:highlight w:val="none"/>
          <w:lang w:val="en-US" w:eastAsia="zh-CN"/>
        </w:rPr>
      </w:pPr>
      <w:bookmarkStart w:id="33" w:name="_Toc7248"/>
      <w:r>
        <w:rPr>
          <w:rFonts w:hint="eastAsia" w:ascii="黑体" w:hAnsi="黑体" w:eastAsia="黑体"/>
          <w:color w:val="000000"/>
          <w:sz w:val="32"/>
          <w:szCs w:val="32"/>
          <w:highlight w:val="none"/>
          <w:lang w:val="en-US" w:eastAsia="zh-CN"/>
        </w:rPr>
        <w:t>五、主要经验及做法、存在的问题及原因分析</w:t>
      </w:r>
      <w:bookmarkEnd w:id="33"/>
    </w:p>
    <w:p>
      <w:pPr>
        <w:pStyle w:val="3"/>
        <w:keepNext/>
        <w:keepLines/>
        <w:pageBreakBefore w:val="0"/>
        <w:widowControl w:val="0"/>
        <w:numPr>
          <w:ilvl w:val="0"/>
          <w:numId w:val="1"/>
        </w:numPr>
        <w:kinsoku/>
        <w:wordWrap/>
        <w:overflowPunct/>
        <w:topLinePunct w:val="0"/>
        <w:autoSpaceDE/>
        <w:autoSpaceDN/>
        <w:bidi w:val="0"/>
        <w:adjustRightInd/>
        <w:snapToGrid/>
        <w:spacing w:before="0" w:after="0" w:line="360" w:lineRule="auto"/>
        <w:ind w:firstLine="640" w:firstLineChars="200"/>
        <w:textAlignment w:val="auto"/>
        <w:rPr>
          <w:rFonts w:hint="eastAsia" w:ascii="仿宋_GB2312" w:hAnsi="宋体" w:eastAsia="仿宋_GB2312" w:cs="仿宋_GB2312"/>
          <w:b w:val="0"/>
          <w:bCs w:val="0"/>
          <w:kern w:val="2"/>
          <w:sz w:val="32"/>
          <w:szCs w:val="32"/>
          <w:highlight w:val="none"/>
          <w:lang w:val="en-US" w:eastAsia="zh-CN" w:bidi="ar-SA"/>
        </w:rPr>
      </w:pPr>
      <w:bookmarkStart w:id="34" w:name="_Toc21115"/>
      <w:bookmarkStart w:id="35" w:name="_Toc16912"/>
      <w:bookmarkStart w:id="36" w:name="_Toc22090"/>
      <w:bookmarkStart w:id="37" w:name="_Toc13778"/>
      <w:bookmarkStart w:id="38" w:name="_Toc24491"/>
      <w:r>
        <w:rPr>
          <w:rFonts w:hint="eastAsia" w:ascii="仿宋_GB2312" w:hAnsi="宋体" w:eastAsia="仿宋_GB2312" w:cs="仿宋_GB2312"/>
          <w:b w:val="0"/>
          <w:bCs w:val="0"/>
          <w:kern w:val="2"/>
          <w:sz w:val="32"/>
          <w:szCs w:val="32"/>
          <w:highlight w:val="none"/>
          <w:lang w:val="en-US" w:eastAsia="zh-CN" w:bidi="ar-SA"/>
        </w:rPr>
        <w:t>主要经验及做法</w:t>
      </w:r>
      <w:bookmarkEnd w:id="34"/>
      <w:bookmarkEnd w:id="35"/>
      <w:bookmarkEnd w:id="36"/>
      <w:bookmarkEnd w:id="37"/>
      <w:bookmarkEnd w:id="38"/>
    </w:p>
    <w:p>
      <w:pPr>
        <w:spacing w:line="360" w:lineRule="auto"/>
        <w:ind w:firstLine="640" w:firstLineChars="200"/>
        <w:rPr>
          <w:rFonts w:hint="default" w:ascii="仿宋_GB2312" w:hAnsi="宋体" w:eastAsia="仿宋_GB2312" w:cs="仿宋_GB2312"/>
          <w:b w:val="0"/>
          <w:bCs w:val="0"/>
          <w:kern w:val="2"/>
          <w:sz w:val="32"/>
          <w:szCs w:val="32"/>
          <w:highlight w:val="none"/>
          <w:lang w:val="en-US" w:eastAsia="zh-CN" w:bidi="ar-SA"/>
        </w:rPr>
      </w:pPr>
      <w:bookmarkStart w:id="39" w:name="_Toc25820"/>
      <w:r>
        <w:rPr>
          <w:rFonts w:hint="eastAsia" w:ascii="仿宋_GB2312" w:hAnsi="宋体" w:eastAsia="仿宋_GB2312" w:cs="仿宋_GB2312"/>
          <w:b w:val="0"/>
          <w:bCs w:val="0"/>
          <w:kern w:val="2"/>
          <w:sz w:val="32"/>
          <w:szCs w:val="32"/>
          <w:highlight w:val="none"/>
          <w:lang w:val="en-US" w:eastAsia="zh-CN" w:bidi="ar-SA"/>
        </w:rPr>
        <w:t>科学配置，完善功能区。积极探索利于儿童发展的最佳养育模式，努力创造适合儿童生长发育、智力发育、个性化发展的宽松环境。同时注重大龄青年的各种技能培训，并创建“慈善爱心工坊”，帮助无法外出就业的青年搭建实现梦想、自食其力和挑战自我的平台。</w:t>
      </w:r>
    </w:p>
    <w:p>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firstLine="640" w:firstLineChars="200"/>
        <w:textAlignment w:val="auto"/>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（二）存在的问题及原因说明</w:t>
      </w:r>
      <w:bookmarkEnd w:id="39"/>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textAlignment w:val="auto"/>
        <w:rPr>
          <w:rFonts w:hint="default" w:ascii="仿宋_GB2312" w:hAnsi="宋体" w:eastAsia="仿宋_GB2312" w:cs="仿宋_GB2312"/>
          <w:b w:val="0"/>
          <w:kern w:val="2"/>
          <w:sz w:val="32"/>
          <w:szCs w:val="32"/>
          <w:highlight w:val="yellow"/>
          <w:lang w:val="en-US" w:eastAsia="zh-CN" w:bidi="ar-SA"/>
        </w:rPr>
      </w:pPr>
      <w:r>
        <w:rPr>
          <w:rFonts w:hint="eastAsia" w:ascii="仿宋_GB2312" w:hAnsi="宋体" w:eastAsia="仿宋_GB2312" w:cs="仿宋_GB2312"/>
          <w:b w:val="0"/>
          <w:bCs w:val="0"/>
          <w:kern w:val="2"/>
          <w:sz w:val="32"/>
          <w:szCs w:val="32"/>
          <w:highlight w:val="none"/>
          <w:lang w:val="en-US" w:eastAsia="zh-CN" w:bidi="ar-SA"/>
        </w:rPr>
        <w:t>绩效目标水平有待提升。该项目设有绩效目标，且绩效目标与项目实施内容高度相关，绩效目标与预算资金额度也相匹配。但其时效指标设置较为笼统，具体为：时效指标设置为“资金拨付及时性”，对应指标值为“2025年12月31日之前据实拨付”，时效指标应该按阶段性考核，该指标设置较为笼统，有待加强时效指标可考核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olor w:val="000000"/>
          <w:sz w:val="32"/>
          <w:szCs w:val="32"/>
          <w:highlight w:val="none"/>
          <w:lang w:val="en-US" w:eastAsia="zh-CN"/>
        </w:rPr>
      </w:pPr>
      <w:bookmarkStart w:id="40" w:name="_Toc28921"/>
      <w:r>
        <w:rPr>
          <w:rFonts w:hint="eastAsia" w:ascii="黑体" w:hAnsi="黑体" w:eastAsia="黑体"/>
          <w:color w:val="000000"/>
          <w:sz w:val="32"/>
          <w:szCs w:val="32"/>
          <w:highlight w:val="none"/>
          <w:lang w:val="en-US" w:eastAsia="zh-CN"/>
        </w:rPr>
        <w:t>六、有关建议</w:t>
      </w:r>
      <w:bookmarkEnd w:id="40"/>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textAlignment w:val="auto"/>
        <w:outlineLvl w:val="9"/>
        <w:rPr>
          <w:rFonts w:hint="eastAsia" w:ascii="仿宋_GB2312" w:hAnsi="宋体" w:eastAsia="仿宋_GB2312" w:cs="仿宋_GB2312"/>
          <w:b w:val="0"/>
          <w:kern w:val="2"/>
          <w:sz w:val="32"/>
          <w:szCs w:val="32"/>
          <w:highlight w:val="none"/>
          <w:lang w:val="en-US" w:eastAsia="zh-CN" w:bidi="ar-SA"/>
        </w:rPr>
      </w:pPr>
      <w:r>
        <w:rPr>
          <w:rFonts w:hint="eastAsia" w:ascii="楷体_GB2312" w:hAnsi="楷体_GB2312" w:eastAsia="楷体_GB2312" w:cs="楷体_GB2312"/>
          <w:b w:val="0"/>
          <w:bCs/>
          <w:color w:val="auto"/>
          <w:sz w:val="32"/>
          <w:szCs w:val="32"/>
          <w:highlight w:val="none"/>
          <w:lang w:val="en-US" w:eastAsia="zh-CN"/>
        </w:rPr>
        <w:t>加强项目绩效目标管理，提升绩效管理水平。</w:t>
      </w:r>
      <w:r>
        <w:rPr>
          <w:rFonts w:hint="eastAsia" w:ascii="仿宋_GB2312" w:hAnsi="宋体" w:eastAsia="仿宋_GB2312" w:cs="仿宋_GB2312"/>
          <w:b w:val="0"/>
          <w:kern w:val="2"/>
          <w:sz w:val="32"/>
          <w:szCs w:val="32"/>
          <w:highlight w:val="none"/>
          <w:lang w:val="en-US" w:eastAsia="zh-CN" w:bidi="ar-SA"/>
        </w:rPr>
        <w:t>为促进项目实施，发挥绩效目标的指导性作用，同时方便项目实施者及其他相关人员对项目目标实现程度作出客观评价，项目单位应做到：一是项目绩效目标的设置应当在与项目密切相关的前提下全面反映项目的产出及效益情况，为项目开展设置相应的数量指标、质量指标、时效指标、成本指标、经济效益指标、社会效益指标等；二是绩效目标三级指标和指标值的设定应做到明确、具体、可衡量，同时确保相关数据及资料的可调取及查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olor w:val="000000"/>
          <w:sz w:val="32"/>
          <w:szCs w:val="32"/>
          <w:highlight w:val="none"/>
          <w:lang w:val="en-US" w:eastAsia="zh-CN"/>
        </w:rPr>
      </w:pPr>
      <w:bookmarkStart w:id="41" w:name="_Toc7463"/>
      <w:r>
        <w:rPr>
          <w:rFonts w:hint="eastAsia" w:ascii="黑体" w:hAnsi="黑体" w:eastAsia="黑体"/>
          <w:color w:val="000000"/>
          <w:sz w:val="32"/>
          <w:szCs w:val="32"/>
          <w:highlight w:val="none"/>
          <w:lang w:val="en-US" w:eastAsia="zh-CN"/>
        </w:rPr>
        <w:t>七、其他需要说明的问题</w:t>
      </w:r>
      <w:bookmarkEnd w:id="41"/>
    </w:p>
    <w:p>
      <w:pPr>
        <w:pStyle w:val="5"/>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仿宋_GB2312" w:hAnsi="宋体" w:eastAsia="仿宋_GB2312" w:cs="仿宋_GB2312"/>
          <w:b w:val="0"/>
          <w:bCs w:val="0"/>
          <w:kern w:val="2"/>
          <w:sz w:val="32"/>
          <w:szCs w:val="32"/>
          <w:highlight w:val="none"/>
          <w:lang w:val="en-US" w:eastAsia="zh-CN" w:bidi="ar-SA"/>
        </w:rPr>
      </w:pPr>
      <w:bookmarkStart w:id="42" w:name="_Toc4737"/>
      <w:bookmarkStart w:id="43" w:name="_Toc26490"/>
      <w:r>
        <w:rPr>
          <w:rFonts w:hint="eastAsia" w:ascii="仿宋_GB2312" w:hAnsi="宋体" w:eastAsia="仿宋_GB2312" w:cs="仿宋_GB2312"/>
          <w:b w:val="0"/>
          <w:bCs w:val="0"/>
          <w:kern w:val="2"/>
          <w:sz w:val="32"/>
          <w:szCs w:val="32"/>
          <w:highlight w:val="none"/>
          <w:lang w:val="en-US" w:eastAsia="zh-CN" w:bidi="ar-SA"/>
        </w:rPr>
        <w:t>无</w:t>
      </w:r>
    </w:p>
    <w:p>
      <w:pPr>
        <w:pStyle w:val="5"/>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仿宋_GB2312" w:hAnsi="仿宋_GB2312" w:eastAsia="仿宋_GB2312" w:cs="仿宋_GB2312"/>
          <w:b w:val="0"/>
          <w:bCs w:val="0"/>
          <w:kern w:val="2"/>
          <w:sz w:val="32"/>
          <w:szCs w:val="32"/>
          <w:highlight w:val="none"/>
          <w:lang w:val="en-US" w:eastAsia="zh-CN" w:bidi="ar-SA"/>
        </w:rPr>
      </w:pPr>
      <w:r>
        <w:rPr>
          <w:rFonts w:hint="eastAsia" w:ascii="黑体" w:hAnsi="黑体" w:eastAsia="黑体" w:cs="黑体"/>
          <w:b w:val="0"/>
          <w:bCs w:val="0"/>
          <w:kern w:val="44"/>
          <w:sz w:val="32"/>
          <w:szCs w:val="32"/>
          <w:highlight w:val="none"/>
          <w:lang w:val="en-US" w:eastAsia="zh-CN"/>
        </w:rPr>
        <w:t>八</w:t>
      </w:r>
      <w:r>
        <w:rPr>
          <w:rFonts w:hint="eastAsia" w:ascii="黑体" w:hAnsi="黑体" w:eastAsia="黑体" w:cs="黑体"/>
          <w:b w:val="0"/>
          <w:bCs w:val="0"/>
          <w:kern w:val="44"/>
          <w:sz w:val="32"/>
          <w:szCs w:val="32"/>
          <w:highlight w:val="none"/>
        </w:rPr>
        <w:t>、</w:t>
      </w:r>
      <w:r>
        <w:rPr>
          <w:rFonts w:hint="eastAsia" w:ascii="黑体" w:hAnsi="黑体" w:eastAsia="黑体" w:cs="黑体"/>
          <w:b w:val="0"/>
          <w:bCs w:val="0"/>
          <w:kern w:val="44"/>
          <w:sz w:val="32"/>
          <w:szCs w:val="32"/>
          <w:highlight w:val="none"/>
          <w:lang w:val="en-US" w:eastAsia="zh-CN"/>
        </w:rPr>
        <w:t>附件</w:t>
      </w:r>
      <w:bookmarkEnd w:id="42"/>
      <w:bookmarkEnd w:id="43"/>
    </w:p>
    <w:p>
      <w:pPr>
        <w:keepNext w:val="0"/>
        <w:keepLines w:val="0"/>
        <w:pageBreakBefore w:val="0"/>
        <w:widowControl w:val="0"/>
        <w:kinsoku/>
        <w:wordWrap/>
        <w:overflowPunct/>
        <w:topLinePunct w:val="0"/>
        <w:autoSpaceDE/>
        <w:autoSpaceDN/>
        <w:bidi w:val="0"/>
        <w:adjustRightInd/>
        <w:snapToGrid/>
        <w:ind w:left="1895" w:leftChars="304" w:hanging="1257" w:hangingChars="393"/>
        <w:jc w:val="left"/>
        <w:textAlignment w:val="auto"/>
        <w:outlineLvl w:val="9"/>
        <w:rPr>
          <w:rFonts w:hint="eastAsia" w:ascii="仿宋_GB2312" w:hAnsi="仿宋_GB2312" w:eastAsia="仿宋_GB2312" w:cs="仿宋_GB2312"/>
          <w:bCs/>
          <w:color w:val="auto"/>
          <w:sz w:val="32"/>
          <w:szCs w:val="32"/>
          <w:highlight w:val="none"/>
          <w:lang w:eastAsia="zh-CN"/>
        </w:rPr>
      </w:pPr>
      <w:bookmarkStart w:id="44" w:name="_Toc26181"/>
      <w:r>
        <w:rPr>
          <w:rFonts w:hint="eastAsia" w:ascii="仿宋_GB2312" w:hAnsi="仿宋_GB2312" w:eastAsia="仿宋_GB2312" w:cs="仿宋_GB2312"/>
          <w:bCs/>
          <w:sz w:val="32"/>
          <w:szCs w:val="32"/>
          <w:highlight w:val="none"/>
          <w:lang w:val="en-US" w:eastAsia="zh-CN"/>
        </w:rPr>
        <w:t>附件1：</w:t>
      </w:r>
      <w:r>
        <w:rPr>
          <w:rFonts w:hint="eastAsia" w:ascii="仿宋_GB2312" w:hAnsi="仿宋_GB2312" w:eastAsia="仿宋_GB2312" w:cs="仿宋_GB2312"/>
          <w:bCs/>
          <w:sz w:val="32"/>
          <w:szCs w:val="32"/>
          <w:highlight w:val="none"/>
        </w:rPr>
        <w:t>《</w:t>
      </w:r>
      <w:r>
        <w:rPr>
          <w:rFonts w:hint="eastAsia" w:ascii="仿宋_GB2312" w:hAnsi="仿宋_GB2312" w:eastAsia="仿宋_GB2312" w:cs="仿宋_GB2312"/>
          <w:bCs/>
          <w:color w:val="auto"/>
          <w:sz w:val="32"/>
          <w:szCs w:val="32"/>
          <w:highlight w:val="none"/>
          <w:lang w:eastAsia="zh-CN"/>
        </w:rPr>
        <w:t>202</w:t>
      </w:r>
      <w:r>
        <w:rPr>
          <w:rFonts w:hint="eastAsia" w:ascii="仿宋_GB2312" w:hAnsi="仿宋_GB2312" w:eastAsia="仿宋_GB2312" w:cs="仿宋_GB2312"/>
          <w:bCs/>
          <w:color w:val="auto"/>
          <w:sz w:val="32"/>
          <w:szCs w:val="32"/>
          <w:highlight w:val="none"/>
          <w:lang w:val="en-US" w:eastAsia="zh-CN"/>
        </w:rPr>
        <w:t>5</w:t>
      </w:r>
      <w:r>
        <w:rPr>
          <w:rFonts w:hint="eastAsia" w:ascii="仿宋_GB2312" w:hAnsi="仿宋_GB2312" w:eastAsia="仿宋_GB2312" w:cs="仿宋_GB2312"/>
          <w:bCs/>
          <w:color w:val="auto"/>
          <w:sz w:val="32"/>
          <w:szCs w:val="32"/>
          <w:highlight w:val="none"/>
          <w:lang w:eastAsia="zh-CN"/>
        </w:rPr>
        <w:t>年市福利院服务对象生活区提升改造项目评价指标体系及评分表》</w:t>
      </w:r>
      <w:bookmarkEnd w:id="44"/>
    </w:p>
    <w:p>
      <w:pPr>
        <w:keepNext w:val="0"/>
        <w:keepLines w:val="0"/>
        <w:pageBreakBefore w:val="0"/>
        <w:widowControl w:val="0"/>
        <w:kinsoku/>
        <w:wordWrap/>
        <w:overflowPunct/>
        <w:topLinePunct w:val="0"/>
        <w:autoSpaceDE/>
        <w:autoSpaceDN/>
        <w:bidi w:val="0"/>
        <w:adjustRightInd/>
        <w:snapToGrid/>
        <w:ind w:left="1895" w:leftChars="304" w:hanging="1257" w:hangingChars="393"/>
        <w:jc w:val="left"/>
        <w:textAlignment w:val="auto"/>
        <w:outlineLvl w:val="9"/>
        <w:rPr>
          <w:rFonts w:hint="default"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附件2：服务对象生活区提升改造项目</w:t>
      </w:r>
      <w:r>
        <w:rPr>
          <w:rFonts w:hint="eastAsia" w:ascii="仿宋_GB2312" w:hAnsi="仿宋_GB2312" w:eastAsia="仿宋_GB2312" w:cs="仿宋_GB2312"/>
          <w:bCs/>
          <w:color w:val="auto"/>
          <w:sz w:val="32"/>
          <w:szCs w:val="32"/>
          <w:highlight w:val="none"/>
          <w:lang w:eastAsia="zh-CN"/>
        </w:rPr>
        <w:t>满意度调查情况表</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Cs/>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outlineLvl w:val="9"/>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lang w:val="en-US" w:eastAsia="zh-CN"/>
        </w:rPr>
        <w:t xml:space="preserve">2026年3月2日 </w:t>
      </w:r>
    </w:p>
    <w:p>
      <w:pPr>
        <w:keepNext w:val="0"/>
        <w:keepLines w:val="0"/>
        <w:pageBreakBefore w:val="0"/>
        <w:widowControl w:val="0"/>
        <w:kinsoku/>
        <w:wordWrap w:val="0"/>
        <w:overflowPunct/>
        <w:topLinePunct w:val="0"/>
        <w:autoSpaceDE/>
        <w:autoSpaceDN/>
        <w:bidi w:val="0"/>
        <w:adjustRightInd/>
        <w:snapToGrid/>
        <w:ind w:firstLine="640" w:firstLineChars="200"/>
        <w:jc w:val="right"/>
        <w:textAlignment w:val="auto"/>
        <w:outlineLvl w:val="9"/>
        <w:rPr>
          <w:rFonts w:hint="default" w:ascii="仿宋_GB2312" w:hAnsi="仿宋_GB2312" w:eastAsia="仿宋_GB2312" w:cs="仿宋_GB2312"/>
          <w:bCs/>
          <w:color w:val="auto"/>
          <w:sz w:val="32"/>
          <w:szCs w:val="32"/>
          <w:highlight w:val="none"/>
          <w:lang w:val="en-US" w:eastAsia="zh-CN"/>
        </w:rPr>
        <w:sectPr>
          <w:footerReference r:id="rId5" w:type="default"/>
          <w:pgSz w:w="11906" w:h="16838"/>
          <w:pgMar w:top="1440" w:right="1803" w:bottom="1440" w:left="1803" w:header="851" w:footer="992" w:gutter="0"/>
          <w:pgNumType w:fmt="decimal" w:start="1"/>
          <w:cols w:space="425" w:num="1"/>
          <w:docGrid w:type="lines" w:linePitch="312" w:charSpace="0"/>
        </w:sectPr>
      </w:pPr>
      <w:r>
        <w:rPr>
          <w:rFonts w:hint="eastAsia" w:ascii="仿宋_GB2312" w:hAnsi="仿宋_GB2312" w:eastAsia="仿宋_GB2312" w:cs="仿宋_GB2312"/>
          <w:bCs/>
          <w:color w:val="auto"/>
          <w:sz w:val="32"/>
          <w:szCs w:val="32"/>
          <w:highlight w:val="none"/>
          <w:lang w:val="en-US" w:eastAsia="zh-CN"/>
        </w:rPr>
        <w:t xml:space="preserve">  </w:t>
      </w:r>
    </w:p>
    <w:p>
      <w:pPr>
        <w:pBdr>
          <w:top w:val="none" w:color="auto" w:sz="0" w:space="0"/>
          <w:left w:val="none" w:color="auto" w:sz="0" w:space="0"/>
          <w:bottom w:val="none" w:color="auto" w:sz="0" w:space="0"/>
          <w:right w:val="none" w:color="auto" w:sz="0" w:space="0"/>
          <w:between w:val="none" w:color="auto" w:sz="0" w:space="0"/>
        </w:pBdr>
        <w:rPr>
          <w:rFonts w:hint="eastAsia" w:cs="Times New Roman"/>
          <w:b/>
          <w:bCs/>
          <w:sz w:val="32"/>
          <w:szCs w:val="28"/>
          <w:lang w:val="en-US" w:eastAsia="zh-CN"/>
        </w:rPr>
      </w:pPr>
      <w:r>
        <w:rPr>
          <w:rFonts w:hint="eastAsia" w:cs="Times New Roman"/>
          <w:b/>
          <w:bCs/>
          <w:sz w:val="32"/>
          <w:szCs w:val="28"/>
          <w:lang w:val="en-US" w:eastAsia="zh-CN"/>
        </w:rPr>
        <w:t>附件1：</w:t>
      </w:r>
    </w:p>
    <w:tbl>
      <w:tblPr>
        <w:tblStyle w:val="11"/>
        <w:tblpPr w:leftFromText="180" w:rightFromText="180" w:vertAnchor="text" w:horzAnchor="page" w:tblpX="1528" w:tblpY="295"/>
        <w:tblOverlap w:val="never"/>
        <w:tblW w:w="140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0"/>
        <w:gridCol w:w="896"/>
        <w:gridCol w:w="1410"/>
        <w:gridCol w:w="2810"/>
        <w:gridCol w:w="5929"/>
        <w:gridCol w:w="1161"/>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12" w:hRule="atLeast"/>
        </w:trPr>
        <w:tc>
          <w:tcPr>
            <w:tcW w:w="14080" w:type="dxa"/>
            <w:gridSpan w:val="7"/>
            <w:tcBorders>
              <w:top w:val="nil"/>
              <w:left w:val="nil"/>
              <w:bottom w:val="single" w:color="auto" w:sz="4" w:space="0"/>
              <w:right w:val="nil"/>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b/>
                <w:bCs/>
                <w:i w:val="0"/>
                <w:iCs w:val="0"/>
                <w:color w:val="000000"/>
                <w:sz w:val="40"/>
                <w:szCs w:val="40"/>
                <w:u w:val="none"/>
              </w:rPr>
            </w:pPr>
            <w:r>
              <w:rPr>
                <w:rFonts w:hint="eastAsia" w:ascii="宋体" w:hAnsi="宋体" w:cs="宋体"/>
                <w:b/>
                <w:bCs/>
                <w:i w:val="0"/>
                <w:iCs w:val="0"/>
                <w:color w:val="000000"/>
                <w:kern w:val="0"/>
                <w:sz w:val="36"/>
                <w:szCs w:val="36"/>
                <w:u w:val="none"/>
                <w:lang w:val="en-US" w:eastAsia="zh-CN" w:bidi="ar"/>
              </w:rPr>
              <w:t>2025</w:t>
            </w:r>
            <w:r>
              <w:rPr>
                <w:rFonts w:hint="eastAsia" w:ascii="宋体" w:hAnsi="宋体" w:eastAsia="宋体" w:cs="宋体"/>
                <w:b/>
                <w:bCs/>
                <w:i w:val="0"/>
                <w:iCs w:val="0"/>
                <w:color w:val="000000"/>
                <w:kern w:val="0"/>
                <w:sz w:val="36"/>
                <w:szCs w:val="36"/>
                <w:u w:val="none"/>
                <w:lang w:val="en-US" w:eastAsia="zh-CN" w:bidi="ar"/>
              </w:rPr>
              <w:t>年</w:t>
            </w:r>
            <w:r>
              <w:rPr>
                <w:rFonts w:hint="eastAsia" w:ascii="宋体" w:hAnsi="宋体" w:cs="宋体"/>
                <w:b/>
                <w:bCs/>
                <w:i w:val="0"/>
                <w:iCs w:val="0"/>
                <w:color w:val="000000"/>
                <w:kern w:val="0"/>
                <w:sz w:val="36"/>
                <w:szCs w:val="36"/>
                <w:u w:val="none"/>
                <w:lang w:val="en-US" w:eastAsia="zh-CN" w:bidi="ar"/>
              </w:rPr>
              <w:t>市福利院服务对象生活区提升改造项目</w:t>
            </w:r>
            <w:r>
              <w:rPr>
                <w:rFonts w:hint="eastAsia" w:ascii="宋体" w:hAnsi="宋体" w:eastAsia="宋体" w:cs="宋体"/>
                <w:b/>
                <w:bCs/>
                <w:i w:val="0"/>
                <w:iCs w:val="0"/>
                <w:color w:val="000000"/>
                <w:kern w:val="0"/>
                <w:sz w:val="36"/>
                <w:szCs w:val="36"/>
                <w:u w:val="none"/>
                <w:lang w:val="en-US" w:eastAsia="zh-CN" w:bidi="ar"/>
              </w:rPr>
              <w:t>评价指标体系及评分表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87" w:hRule="atLeast"/>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一级指标</w:t>
            </w:r>
          </w:p>
        </w:tc>
        <w:tc>
          <w:tcPr>
            <w:tcW w:w="8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二级指标</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三级指标</w:t>
            </w:r>
          </w:p>
        </w:tc>
        <w:tc>
          <w:tcPr>
            <w:tcW w:w="281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 w:hAnsi="仿宋" w:eastAsia="仿宋" w:cs="仿宋"/>
                <w:b/>
                <w:bCs/>
                <w:i w:val="0"/>
                <w:iCs w:val="0"/>
                <w:color w:val="000000"/>
                <w:sz w:val="24"/>
                <w:szCs w:val="24"/>
                <w:u w:val="none"/>
              </w:rPr>
            </w:pPr>
          </w:p>
        </w:tc>
        <w:tc>
          <w:tcPr>
            <w:tcW w:w="59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评分标准</w:t>
            </w:r>
          </w:p>
        </w:tc>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c>
          <w:tcPr>
            <w:tcW w:w="11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0" w:hRule="atLeast"/>
        </w:trPr>
        <w:tc>
          <w:tcPr>
            <w:tcW w:w="77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决策　</w:t>
            </w:r>
          </w:p>
        </w:tc>
        <w:tc>
          <w:tcPr>
            <w:tcW w:w="896"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项目立项　</w:t>
            </w:r>
          </w:p>
        </w:tc>
        <w:tc>
          <w:tcPr>
            <w:tcW w:w="141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立项依据充分性</w:t>
            </w:r>
          </w:p>
        </w:tc>
        <w:tc>
          <w:tcPr>
            <w:tcW w:w="281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项目立项是否符合法律法规、相关政策、发展规划以及部门职责，用以反映和考核项目立项依据情况。</w:t>
            </w:r>
          </w:p>
        </w:tc>
        <w:tc>
          <w:tcPr>
            <w:tcW w:w="5929"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1.项目立项是否符合《关于进一步发展孤残儿童福利事业的通知》和《关于加强孤儿保障工作的实施意见》等相关要求；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2.项目立项是否符合《关于加强孤儿保障工作的实施意见》（赣民字〔2018〕3号）和《关于开展孤儿区域性机构养育工作的通知》（洪民字〔2018〕150号）等相关要求；                                             3.项目立项是否与福利院职责范围相符，属于福利院履职所需；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4.项目是否属于公共财政支持范围，符合福利院事权支出责任划分原则。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1161"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104"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740"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立项程序规范性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项目申请、设立过程是否符合相关要求，用以反映和考核项目立项的规范情况。</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1.项目是否按规定程序申请设立，且经过了必要的可行性研究、专家论证、风险评估、绩效评估、集体决策；                                             2.审批文件、材料是否符合相关要求。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864"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绩效目标　</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绩效目标合理性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项目所设定的绩效目标是否依据充分，是否符合客观实际，用以反映和考核项目绩效目标与项目实施的相符情况。</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1.项目是否设有绩效目标；                                           2.项目绩效目标是否与实际工作内容具有相关性；                        3.项目预期产出效益和效果是否符合正常的业绩水平；                                              4.目标与预算确定的项目投资额或资金量是否相匹配。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456"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绩效指标明确性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依据绩效目标设定的绩效指标是否清晰、细化、可衡量等，用以反映和考核项目绩效目标的明细化情况。</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1.绩效目标是否已细化分解为具体的绩效指标；                          2.绩效目标是否通过清晰、可衡量的指标值予以体现；                     3.绩效目标是否与项目目标任务数或计划数相对应。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968"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资金投入</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预算编制科学性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项目预算编制是否经过科学论证、有明确标准，资金额度与年度目标是否相适应，用以反映和考核项目预算编制的科学性、合理性情况。</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1.预算是否经过科学论证；                                           2.预算内容是否与项目内容相匹配；                                   3.预算额度测算依据是否充分，按标准编制；                            4.预算确定的项目投资额或资金量是否与工作任务相匹配。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167"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资金分配合理性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项目预算资金分配是否有测算依据，与补助单位或地方实际是否相适应，用以反映和考核项目预算资金分配的科学性、合理性情况。</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1.预算资金分配依据是否充分；                                       2.各子项目资金分配额度是否合理，与项目单位或地方实际是否相适应。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0" w:hRule="atLeast"/>
        </w:trPr>
        <w:tc>
          <w:tcPr>
            <w:tcW w:w="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过程</w:t>
            </w:r>
          </w:p>
        </w:tc>
        <w:tc>
          <w:tcPr>
            <w:tcW w:w="89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资金管理</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资金到位率</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实际到位资金与预算资金的比率，用以反映和考核资金落实情况对项目实施的总体保障程度。</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资金到位率=（实际到位资金/预算资金）*100%；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1.实际到位资金：一定时期（本年度或项目期）内落实到具体项目的资金；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2.预算资金：一定时期（本年度或项目期）内预算安排到具体项目的资金。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得分=资金到位率*权重分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274"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left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预算执行率</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单位本年度预算执行数与财政预算下达数的比率，用以反映和考核单位预算支出完成程度。</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i w:val="0"/>
                <w:iCs w:val="0"/>
                <w:color w:val="000000"/>
                <w:kern w:val="0"/>
                <w:sz w:val="21"/>
                <w:szCs w:val="21"/>
                <w:highlight w:val="none"/>
                <w:u w:val="none"/>
                <w:lang w:val="en-US" w:eastAsia="zh-CN" w:bidi="ar"/>
              </w:rPr>
              <w:t>预算执行率=（支出预算完成数/支出预算下达数）*100%；</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支出预算执行数：单位本年度实际完成的预算支出数；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支出预算数：财政单位批复的本年度单位预算支出数。</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得分=预算执行率为100%，得5分；80%-100%的，得3分；60%-80%的，得1分；＜60%，不得分。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 xml:space="preserve">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716"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kern w:val="0"/>
                <w:sz w:val="21"/>
                <w:szCs w:val="21"/>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资金使用合规性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项目资金使用是否符合相关的财务管理制度规定，用以反映和考核项目资金的规范运行情况。</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 xml:space="preserve">1.是否符合国家财经法规和财务管理制度的规定；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2.资金的拨付是否有完整的审批程序和手续；                        3.是否符合项目预算批复或合同规定的用途；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4.是否存在截留、挤占、挪用、虚列支出等情况。</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上述内容每项符合1分，不符合0分。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4</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716"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kern w:val="0"/>
                <w:sz w:val="21"/>
                <w:szCs w:val="21"/>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管理制度健全性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项目实施单位的管理制度是否健全，用以反映和考核项目顺利实施的保障情况。</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1.是否已制定或具有相应的财务管理制度；   </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2.制度是否合法、合规、完整。</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上述内容每项符合2分，不符合0分。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716"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组织实施</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制度执行有效性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项目实施是否符合相关管理规定，用以反映和考核相关管理制度的有效执行情况。</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1.是否遵守相关法律法规和相关管理规定；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2.项目调整及支出调整手续是否完备；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3.项目合同书、申报材料等资料齐全；                               4.项目实施的人员条件、场地设备、信息支撑等是否落实到位。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582" w:hRule="atLeast"/>
        </w:trPr>
        <w:tc>
          <w:tcPr>
            <w:tcW w:w="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产出</w:t>
            </w:r>
          </w:p>
        </w:tc>
        <w:tc>
          <w:tcPr>
            <w:tcW w:w="89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产出数量</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highlight w:val="yellow"/>
                <w:u w:val="none"/>
                <w:lang w:val="en-US" w:eastAsia="zh-CN"/>
              </w:rPr>
            </w:pPr>
            <w:r>
              <w:rPr>
                <w:rFonts w:hint="eastAsia" w:ascii="仿宋" w:hAnsi="仿宋" w:eastAsia="仿宋" w:cs="仿宋"/>
                <w:i w:val="0"/>
                <w:iCs w:val="0"/>
                <w:color w:val="000000"/>
                <w:sz w:val="21"/>
                <w:szCs w:val="21"/>
                <w:highlight w:val="none"/>
                <w:u w:val="none"/>
                <w:lang w:val="en-US" w:eastAsia="zh-CN"/>
              </w:rPr>
              <w:t>地面防滑砖铺设面积</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yellow"/>
                <w:u w:val="none"/>
              </w:rPr>
            </w:pPr>
            <w:r>
              <w:rPr>
                <w:rFonts w:hint="eastAsia" w:ascii="仿宋" w:hAnsi="仿宋" w:eastAsia="仿宋" w:cs="仿宋"/>
                <w:i w:val="0"/>
                <w:iCs w:val="0"/>
                <w:color w:val="000000"/>
                <w:kern w:val="0"/>
                <w:sz w:val="21"/>
                <w:szCs w:val="21"/>
                <w:highlight w:val="none"/>
                <w:u w:val="none"/>
                <w:lang w:val="en-US" w:eastAsia="zh-CN" w:bidi="ar"/>
              </w:rPr>
              <w:t>考察项目实施后，</w:t>
            </w:r>
            <w:r>
              <w:rPr>
                <w:rFonts w:hint="eastAsia" w:ascii="仿宋" w:hAnsi="仿宋" w:eastAsia="仿宋" w:cs="仿宋"/>
                <w:i w:val="0"/>
                <w:iCs w:val="0"/>
                <w:color w:val="000000"/>
                <w:sz w:val="21"/>
                <w:szCs w:val="21"/>
                <w:highlight w:val="none"/>
                <w:u w:val="none"/>
                <w:lang w:val="en-US" w:eastAsia="zh-CN"/>
              </w:rPr>
              <w:t>地面防滑砖铺设面积</w:t>
            </w:r>
            <w:r>
              <w:rPr>
                <w:rFonts w:hint="eastAsia" w:ascii="仿宋" w:hAnsi="仿宋" w:eastAsia="仿宋" w:cs="仿宋"/>
                <w:i w:val="0"/>
                <w:iCs w:val="0"/>
                <w:color w:val="000000"/>
                <w:kern w:val="0"/>
                <w:sz w:val="21"/>
                <w:szCs w:val="21"/>
                <w:highlight w:val="none"/>
                <w:u w:val="none"/>
                <w:lang w:val="en-US" w:eastAsia="zh-CN" w:bidi="ar"/>
              </w:rPr>
              <w:t>是否达到预期目标。</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根据项目绩效目标表，该项目需完成</w:t>
            </w:r>
            <w:r>
              <w:rPr>
                <w:rFonts w:hint="eastAsia" w:ascii="仿宋" w:hAnsi="仿宋" w:eastAsia="仿宋" w:cs="仿宋"/>
                <w:i w:val="0"/>
                <w:iCs w:val="0"/>
                <w:color w:val="000000"/>
                <w:sz w:val="21"/>
                <w:szCs w:val="21"/>
                <w:highlight w:val="none"/>
                <w:u w:val="none"/>
                <w:lang w:val="en-US" w:eastAsia="zh-CN"/>
              </w:rPr>
              <w:t>地面防滑砖铺设面积939.93㎡</w:t>
            </w:r>
            <w:r>
              <w:rPr>
                <w:rFonts w:hint="eastAsia" w:ascii="仿宋" w:hAnsi="仿宋" w:eastAsia="仿宋" w:cs="仿宋"/>
                <w:i w:val="0"/>
                <w:iCs w:val="0"/>
                <w:color w:val="000000"/>
                <w:kern w:val="0"/>
                <w:sz w:val="21"/>
                <w:szCs w:val="21"/>
                <w:highlight w:val="none"/>
                <w:u w:val="none"/>
                <w:lang w:val="en-US" w:eastAsia="zh-CN" w:bidi="ar"/>
              </w:rPr>
              <w:t>。</w:t>
            </w:r>
          </w:p>
          <w:p>
            <w:pPr>
              <w:keepNext w:val="0"/>
              <w:keepLines w:val="0"/>
              <w:widowControl/>
              <w:suppressLineNumbers w:val="0"/>
              <w:jc w:val="left"/>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得分：</w:t>
            </w:r>
            <w:r>
              <w:rPr>
                <w:rFonts w:hint="eastAsia" w:ascii="仿宋" w:hAnsi="仿宋" w:eastAsia="仿宋" w:cs="仿宋"/>
                <w:i w:val="0"/>
                <w:iCs w:val="0"/>
                <w:color w:val="000000"/>
                <w:sz w:val="21"/>
                <w:szCs w:val="21"/>
                <w:highlight w:val="none"/>
                <w:u w:val="none"/>
                <w:lang w:val="en-US" w:eastAsia="zh-CN"/>
              </w:rPr>
              <w:t>地面防滑砖铺设面积</w:t>
            </w:r>
            <w:r>
              <w:rPr>
                <w:rFonts w:hint="eastAsia" w:ascii="仿宋" w:hAnsi="仿宋" w:eastAsia="仿宋" w:cs="仿宋"/>
                <w:i w:val="0"/>
                <w:iCs w:val="0"/>
                <w:color w:val="000000"/>
                <w:kern w:val="0"/>
                <w:sz w:val="21"/>
                <w:szCs w:val="21"/>
                <w:highlight w:val="none"/>
                <w:u w:val="none"/>
                <w:lang w:val="en-US" w:eastAsia="zh-CN" w:bidi="ar"/>
              </w:rPr>
              <w:t>已达939.93㎡，得满分，否则按比例得分。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13"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left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highlight w:val="none"/>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地下室桥架长度</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考察项目实施后，地下室桥架长度是否达到预期目标。</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根据项目绩效目标表，该项目需完成792米的地下室桥架工作；</w:t>
            </w:r>
          </w:p>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得分：地下室桥架长度已达792.41米，得满分，否则按比例得分。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13"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left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highlight w:val="none"/>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养育楼配电箱购置</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考察项目实施后，养育楼配电箱购置是否达到预期目标。</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根据项目绩效目标表，该项目需完成养育楼配电箱购置12台；</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得分：养育楼配电箱购置已购置12台，得满分，否则按比例得分。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13"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产出质量</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工程阶段性验收合格率　</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考察项目工程建设质量是否符合相关要求。</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工程阶段性验收合格率=验收合格的子项目数量/验收的子项目总数量*100%；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得分=工程阶段性验收合格率*权重分。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13"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产出时效</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工程建设完成及时率</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考察项目各项工程建设任务是否在规定时间内完成。</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工程建设完成及时率=及时完工的子项目数量/总的子项目数量*100%；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得分=工程建设完成及时率*权重分。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13"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产出成本</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项目年度成本控制数</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考察项目2025年度支出是否控制在年初预算内。</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本年度安排该项目预算2916.73万元，2025年度项目实际支出是否控制在2916.73万以内；</w:t>
            </w:r>
          </w:p>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得分：2025年度项目支出控制在预算内，得满分，否则不得分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209" w:hRule="atLeast"/>
        </w:trPr>
        <w:tc>
          <w:tcPr>
            <w:tcW w:w="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效益</w:t>
            </w:r>
          </w:p>
        </w:tc>
        <w:tc>
          <w:tcPr>
            <w:tcW w:w="8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社会效益</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服务对象居住环境明显改善</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highlight w:val="none"/>
                <w:u w:val="none"/>
                <w:lang w:val="en-US" w:eastAsia="zh-CN" w:bidi="ar"/>
              </w:rPr>
              <w:t>考察项目实施后，是否有效改善了服务对象生活区的居住环境相关情况。</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highlight w:val="none"/>
                <w:u w:val="none"/>
                <w:lang w:val="en-US" w:eastAsia="zh-CN" w:bidi="ar"/>
              </w:rPr>
              <w:t>1.有效改善；2.一般改善；3.不能改善。                                                                                                                                                                          得分：有效改善得8-10分；一般改善得5-7分；不能改善得0-4分。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highlight w:val="none"/>
                <w:u w:val="none"/>
                <w:lang w:val="en-US" w:eastAsia="zh-CN" w:bidi="ar"/>
              </w:rPr>
              <w:t>10</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sz w:val="21"/>
                <w:szCs w:val="21"/>
                <w:highlight w:val="none"/>
                <w:u w:val="none"/>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13"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highlight w:val="none"/>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孤儿满意度</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反映服务对象对项目实施成果的满意度。</w:t>
            </w:r>
          </w:p>
        </w:tc>
        <w:tc>
          <w:tcPr>
            <w:tcW w:w="5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2"/>
              </w:numPr>
              <w:suppressLineNumbers w:val="0"/>
              <w:jc w:val="left"/>
              <w:textAlignment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满意度≥95%；2.95%＞满意度≥90；3.90＞满意度≥80%；4.满意度＜80%</w:t>
            </w:r>
          </w:p>
          <w:p>
            <w:pPr>
              <w:keepNext w:val="0"/>
              <w:keepLines w:val="0"/>
              <w:widowControl/>
              <w:numPr>
                <w:ilvl w:val="0"/>
                <w:numId w:val="0"/>
              </w:numPr>
              <w:suppressLineNumbers w:val="0"/>
              <w:ind w:left="0" w:leftChars="0" w:firstLine="0" w:firstLineChars="0"/>
              <w:jc w:val="left"/>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得分：第一档得6分；第二档4-5分；第三档2-3分；第四档0-1分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6</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61" w:hRule="atLeast"/>
        </w:trPr>
        <w:tc>
          <w:tcPr>
            <w:tcW w:w="1181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合计</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100</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28"/>
                <w:szCs w:val="28"/>
                <w:u w:val="none"/>
                <w:lang w:val="en-US"/>
              </w:rPr>
            </w:pPr>
            <w:r>
              <w:rPr>
                <w:rFonts w:hint="eastAsia" w:ascii="宋体" w:hAnsi="宋体" w:cs="宋体"/>
                <w:b/>
                <w:bCs/>
                <w:i w:val="0"/>
                <w:iCs w:val="0"/>
                <w:color w:val="000000"/>
                <w:kern w:val="0"/>
                <w:sz w:val="28"/>
                <w:szCs w:val="28"/>
                <w:u w:val="none"/>
                <w:lang w:val="en-US" w:eastAsia="zh-CN" w:bidi="ar"/>
              </w:rPr>
              <w:t>96</w:t>
            </w:r>
          </w:p>
        </w:tc>
      </w:tr>
    </w:tbl>
    <w:p>
      <w:pPr>
        <w:rPr>
          <w:rFonts w:hint="default"/>
          <w:b/>
          <w:bCs/>
          <w:sz w:val="36"/>
          <w:szCs w:val="32"/>
          <w:lang w:val="en-US" w:eastAsia="zh-CN"/>
        </w:rPr>
        <w:sectPr>
          <w:type w:val="continuous"/>
          <w:pgSz w:w="16838" w:h="11906" w:orient="landscape"/>
          <w:pgMar w:top="1803" w:right="1440" w:bottom="1803" w:left="1440" w:header="851" w:footer="992" w:gutter="0"/>
          <w:pgNumType w:fmt="decimal"/>
          <w:cols w:space="425" w:num="1"/>
          <w:docGrid w:type="lines" w:linePitch="312" w:charSpace="0"/>
        </w:sectPr>
      </w:pPr>
    </w:p>
    <w:p>
      <w:pPr>
        <w:jc w:val="left"/>
      </w:pPr>
      <w:r>
        <w:rPr>
          <w:rFonts w:hint="eastAsia"/>
          <w:b/>
          <w:bCs/>
          <w:sz w:val="36"/>
          <w:szCs w:val="32"/>
          <w:lang w:val="en-US" w:eastAsia="zh-CN"/>
        </w:rPr>
        <w:t>附件2：</w:t>
      </w:r>
      <w:r>
        <w:drawing>
          <wp:inline distT="0" distB="0" distL="114300" distR="114300">
            <wp:extent cx="4884420" cy="5300345"/>
            <wp:effectExtent l="0" t="0" r="11430" b="146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4884420" cy="5300345"/>
                    </a:xfrm>
                    <a:prstGeom prst="rect">
                      <a:avLst/>
                    </a:prstGeom>
                    <a:noFill/>
                    <a:ln>
                      <a:noFill/>
                    </a:ln>
                  </pic:spPr>
                </pic:pic>
              </a:graphicData>
            </a:graphic>
          </wp:inline>
        </w:drawing>
      </w:r>
      <w:bookmarkStart w:id="45" w:name="_GoBack"/>
      <w:r>
        <w:drawing>
          <wp:inline distT="0" distB="0" distL="114300" distR="114300">
            <wp:extent cx="4787900" cy="2873375"/>
            <wp:effectExtent l="0" t="0" r="12700" b="317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stretch>
                      <a:fillRect/>
                    </a:stretch>
                  </pic:blipFill>
                  <pic:spPr>
                    <a:xfrm>
                      <a:off x="0" y="0"/>
                      <a:ext cx="4787900" cy="2873375"/>
                    </a:xfrm>
                    <a:prstGeom prst="rect">
                      <a:avLst/>
                    </a:prstGeom>
                    <a:noFill/>
                    <a:ln>
                      <a:noFill/>
                    </a:ln>
                  </pic:spPr>
                </pic:pic>
              </a:graphicData>
            </a:graphic>
          </wp:inline>
        </w:drawing>
      </w:r>
      <w:bookmarkEnd w:id="45"/>
    </w:p>
    <w:p>
      <w:pPr>
        <w:jc w:val="left"/>
        <w:rPr>
          <w:rFonts w:hint="default"/>
          <w:lang w:val="en-US" w:eastAsia="zh-CN"/>
        </w:rPr>
      </w:pPr>
    </w:p>
    <w:sectPr>
      <w:pgSz w:w="11906" w:h="16838"/>
      <w:pgMar w:top="1440" w:right="1803" w:bottom="1440" w:left="180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modern"/>
    <w:pitch w:val="default"/>
    <w:sig w:usb0="00000000" w:usb1="00000000" w:usb2="00000000" w:usb3="00000000" w:csb0="00040000" w:csb1="00000000"/>
  </w:font>
  <w:font w:name="方正书宋简体">
    <w:altName w:val="Arial"/>
    <w:panose1 w:val="00000000000000000000"/>
    <w:charset w:val="00"/>
    <w:family w:val="auto"/>
    <w:pitch w:val="default"/>
    <w:sig w:usb0="00000000" w:usb1="00000000" w:usb2="00000000" w:usb3="00000000" w:csb0="00000000" w:csb1="00000000"/>
  </w:font>
  <w:font w:name="方正小标宋简体">
    <w:altName w:val="汉仪书宋二KW"/>
    <w:panose1 w:val="02000000000000000000"/>
    <w:charset w:val="86"/>
    <w:family w:val="script"/>
    <w:pitch w:val="default"/>
    <w:sig w:usb0="00000000" w:usb1="00000000" w:usb2="00000012" w:usb3="00000000" w:csb0="00040001" w:csb1="00000000"/>
  </w:font>
  <w:font w:name="Wingdings 2">
    <w:altName w:val="Webdings"/>
    <w:panose1 w:val="05020102010507070707"/>
    <w:charset w:val="02"/>
    <w:family w:val="auto"/>
    <w:pitch w:val="default"/>
    <w:sig w:usb0="00000000" w:usb1="00000000" w:usb2="00000000" w:usb3="00000000" w:csb0="80000000" w:csb1="00000000"/>
  </w:font>
  <w:font w:name="楷体_GB2312">
    <w:altName w:val="汉仪楷体KW"/>
    <w:panose1 w:val="02010609030101010101"/>
    <w:charset w:val="86"/>
    <w:family w:val="modern"/>
    <w:pitch w:val="default"/>
    <w:sig w:usb0="00000000" w:usb1="00000000" w:usb2="00000000" w:usb3="00000000" w:csb0="00040000" w:csb1="00000000"/>
  </w:font>
  <w:font w:name="方正小标宋_GBK">
    <w:altName w:val="汉仪书宋二KW"/>
    <w:panose1 w:val="02000000000000000000"/>
    <w:charset w:val="86"/>
    <w:family w:val="auto"/>
    <w:pitch w:val="default"/>
    <w:sig w:usb0="00000000" w:usb1="00000000" w:usb2="00000000" w:usb3="00000000" w:csb0="00040000" w:csb1="00000000"/>
  </w:font>
  <w:font w:name="仿宋">
    <w:altName w:val="汉仪仿宋KW"/>
    <w:panose1 w:val="02010609060101010101"/>
    <w:charset w:val="86"/>
    <w:family w:val="auto"/>
    <w:pitch w:val="default"/>
    <w:sig w:usb0="00000000" w:usb1="00000000" w:usb2="00000016" w:usb3="00000000" w:csb0="00040001" w:csb1="00000000"/>
  </w:font>
  <w:font w:name="Webdings">
    <w:panose1 w:val="05030102010509060703"/>
    <w:charset w:val="00"/>
    <w:family w:val="auto"/>
    <w:pitch w:val="default"/>
    <w:sig w:usb0="00000000" w:usb1="00000000" w:usb2="00000000" w:usb3="00000000" w:csb0="80000000" w:csb1="00000000"/>
  </w:font>
  <w:font w:name="Noto Sans Symbols2">
    <w:panose1 w:val="020B0502040504020204"/>
    <w:charset w:val="00"/>
    <w:family w:val="auto"/>
    <w:pitch w:val="default"/>
    <w:sig w:usb0="80000003" w:usb1="0200E3E4" w:usb2="00040020" w:usb3="0580A048" w:csb0="00000001" w:csb1="00000000"/>
  </w:font>
  <w:font w:name="汉仪楷体KW">
    <w:panose1 w:val="00020600040101010101"/>
    <w:charset w:val="86"/>
    <w:family w:val="auto"/>
    <w:pitch w:val="default"/>
    <w:sig w:usb0="A00002BF" w:usb1="18EF7CFA" w:usb2="00000016" w:usb3="00000000" w:csb0="00040000"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center" w:pos="4150"/>
        <w:tab w:val="clear" w:pos="4153"/>
      </w:tabs>
      <w:ind w:right="36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3F9CC"/>
    <w:multiLevelType w:val="singleLevel"/>
    <w:tmpl w:val="54A3F9CC"/>
    <w:lvl w:ilvl="0" w:tentative="0">
      <w:start w:val="1"/>
      <w:numFmt w:val="decimal"/>
      <w:lvlText w:val="%1."/>
      <w:lvlJc w:val="left"/>
      <w:pPr>
        <w:tabs>
          <w:tab w:val="left" w:pos="312"/>
        </w:tabs>
      </w:pPr>
    </w:lvl>
  </w:abstractNum>
  <w:abstractNum w:abstractNumId="1">
    <w:nsid w:val="6FA1C5D0"/>
    <w:multiLevelType w:val="singleLevel"/>
    <w:tmpl w:val="6FA1C5D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2MmRhMmY3MmQxOTBjMmIyOTU5ZDRlOTEwZDAxMzAifQ=="/>
  </w:docVars>
  <w:rsids>
    <w:rsidRoot w:val="30FC024B"/>
    <w:rsid w:val="005A7A7F"/>
    <w:rsid w:val="007B6BE0"/>
    <w:rsid w:val="00CD1788"/>
    <w:rsid w:val="01763BCE"/>
    <w:rsid w:val="01A82B7E"/>
    <w:rsid w:val="0233201B"/>
    <w:rsid w:val="02FE552E"/>
    <w:rsid w:val="02FF0B1A"/>
    <w:rsid w:val="03101E00"/>
    <w:rsid w:val="03624A5C"/>
    <w:rsid w:val="044B0497"/>
    <w:rsid w:val="04775EC4"/>
    <w:rsid w:val="04877484"/>
    <w:rsid w:val="0596483F"/>
    <w:rsid w:val="05A827C4"/>
    <w:rsid w:val="05E3018E"/>
    <w:rsid w:val="05E76E48"/>
    <w:rsid w:val="060D2B53"/>
    <w:rsid w:val="07755F95"/>
    <w:rsid w:val="07794418"/>
    <w:rsid w:val="07B20367"/>
    <w:rsid w:val="07BE3B8B"/>
    <w:rsid w:val="0A59408D"/>
    <w:rsid w:val="0A6429F3"/>
    <w:rsid w:val="0CF609E2"/>
    <w:rsid w:val="0D562370"/>
    <w:rsid w:val="0E6A6868"/>
    <w:rsid w:val="0EE62C4F"/>
    <w:rsid w:val="0F262A1B"/>
    <w:rsid w:val="1006299D"/>
    <w:rsid w:val="103B4960"/>
    <w:rsid w:val="108F503D"/>
    <w:rsid w:val="10D3289C"/>
    <w:rsid w:val="11036B00"/>
    <w:rsid w:val="112847B9"/>
    <w:rsid w:val="12702C4A"/>
    <w:rsid w:val="12B04A66"/>
    <w:rsid w:val="12BC340B"/>
    <w:rsid w:val="12BD2E28"/>
    <w:rsid w:val="12C837E1"/>
    <w:rsid w:val="13616350"/>
    <w:rsid w:val="14464889"/>
    <w:rsid w:val="1509056F"/>
    <w:rsid w:val="15485AA9"/>
    <w:rsid w:val="1585667E"/>
    <w:rsid w:val="174F2074"/>
    <w:rsid w:val="178AC4D2"/>
    <w:rsid w:val="17E07995"/>
    <w:rsid w:val="18127FBA"/>
    <w:rsid w:val="182B7352"/>
    <w:rsid w:val="186E6834"/>
    <w:rsid w:val="19233F3A"/>
    <w:rsid w:val="1DDDDF3D"/>
    <w:rsid w:val="1EA35913"/>
    <w:rsid w:val="1EB82D7E"/>
    <w:rsid w:val="1F681363"/>
    <w:rsid w:val="1F9A583C"/>
    <w:rsid w:val="21AD46B3"/>
    <w:rsid w:val="21CB13D3"/>
    <w:rsid w:val="225151C9"/>
    <w:rsid w:val="22B8599C"/>
    <w:rsid w:val="233518BC"/>
    <w:rsid w:val="234B4A63"/>
    <w:rsid w:val="23B291EA"/>
    <w:rsid w:val="23B96838"/>
    <w:rsid w:val="241E315F"/>
    <w:rsid w:val="24492504"/>
    <w:rsid w:val="249271CF"/>
    <w:rsid w:val="24B70083"/>
    <w:rsid w:val="24BC54EC"/>
    <w:rsid w:val="260B1B21"/>
    <w:rsid w:val="266831F8"/>
    <w:rsid w:val="268B183A"/>
    <w:rsid w:val="26AA04BC"/>
    <w:rsid w:val="26AD240F"/>
    <w:rsid w:val="27EB48E3"/>
    <w:rsid w:val="27ED629D"/>
    <w:rsid w:val="298144A4"/>
    <w:rsid w:val="2A695D44"/>
    <w:rsid w:val="2B6D5DD3"/>
    <w:rsid w:val="2C287027"/>
    <w:rsid w:val="2CB578DB"/>
    <w:rsid w:val="2CF241A1"/>
    <w:rsid w:val="2D035593"/>
    <w:rsid w:val="2D3C2DC7"/>
    <w:rsid w:val="2F864A45"/>
    <w:rsid w:val="30BD550C"/>
    <w:rsid w:val="30FC024B"/>
    <w:rsid w:val="31B03E19"/>
    <w:rsid w:val="31DA6A38"/>
    <w:rsid w:val="332E70BE"/>
    <w:rsid w:val="33CF3625"/>
    <w:rsid w:val="34362DF1"/>
    <w:rsid w:val="34F164D0"/>
    <w:rsid w:val="350A188D"/>
    <w:rsid w:val="35442E9E"/>
    <w:rsid w:val="35A9726F"/>
    <w:rsid w:val="3691594B"/>
    <w:rsid w:val="37F05781"/>
    <w:rsid w:val="38493EAA"/>
    <w:rsid w:val="38E01C85"/>
    <w:rsid w:val="39BD4D4F"/>
    <w:rsid w:val="3B017338"/>
    <w:rsid w:val="3B0741BF"/>
    <w:rsid w:val="3B195DA8"/>
    <w:rsid w:val="3BC62A80"/>
    <w:rsid w:val="3BDF2BB5"/>
    <w:rsid w:val="3D02447F"/>
    <w:rsid w:val="3D154A53"/>
    <w:rsid w:val="3E330175"/>
    <w:rsid w:val="3EE14075"/>
    <w:rsid w:val="3F04501A"/>
    <w:rsid w:val="3F46452E"/>
    <w:rsid w:val="3FBD1C14"/>
    <w:rsid w:val="3FDA081E"/>
    <w:rsid w:val="400320D1"/>
    <w:rsid w:val="40210BCD"/>
    <w:rsid w:val="40555880"/>
    <w:rsid w:val="406310CC"/>
    <w:rsid w:val="40CA1FEB"/>
    <w:rsid w:val="4119483A"/>
    <w:rsid w:val="413F4B13"/>
    <w:rsid w:val="41DC3706"/>
    <w:rsid w:val="42181A6C"/>
    <w:rsid w:val="43C66B39"/>
    <w:rsid w:val="44823C05"/>
    <w:rsid w:val="469320F9"/>
    <w:rsid w:val="47082645"/>
    <w:rsid w:val="48945CB4"/>
    <w:rsid w:val="49786B4B"/>
    <w:rsid w:val="4AFD1214"/>
    <w:rsid w:val="4B5E0F27"/>
    <w:rsid w:val="4BD51A72"/>
    <w:rsid w:val="4CBE09B8"/>
    <w:rsid w:val="4E0E2A6C"/>
    <w:rsid w:val="4F366E08"/>
    <w:rsid w:val="4F3F2E1E"/>
    <w:rsid w:val="516C3C72"/>
    <w:rsid w:val="522D3402"/>
    <w:rsid w:val="52AA4877"/>
    <w:rsid w:val="52CE1F68"/>
    <w:rsid w:val="52DE1B3D"/>
    <w:rsid w:val="53E116D5"/>
    <w:rsid w:val="54837309"/>
    <w:rsid w:val="57365D4B"/>
    <w:rsid w:val="57D171A9"/>
    <w:rsid w:val="581B6643"/>
    <w:rsid w:val="586A225F"/>
    <w:rsid w:val="58BE710D"/>
    <w:rsid w:val="58FC61BC"/>
    <w:rsid w:val="597614BA"/>
    <w:rsid w:val="59E62982"/>
    <w:rsid w:val="5A03096D"/>
    <w:rsid w:val="5AB0697E"/>
    <w:rsid w:val="5ABA296C"/>
    <w:rsid w:val="5B123195"/>
    <w:rsid w:val="5B645315"/>
    <w:rsid w:val="5C5F1B35"/>
    <w:rsid w:val="5C6A0310"/>
    <w:rsid w:val="5C7873A9"/>
    <w:rsid w:val="5C8D569B"/>
    <w:rsid w:val="5C961BA3"/>
    <w:rsid w:val="5CFA0246"/>
    <w:rsid w:val="5D88173C"/>
    <w:rsid w:val="5DF1619B"/>
    <w:rsid w:val="5E966EBF"/>
    <w:rsid w:val="5F905F57"/>
    <w:rsid w:val="604C0333"/>
    <w:rsid w:val="60915AA6"/>
    <w:rsid w:val="60D649D5"/>
    <w:rsid w:val="60ED547E"/>
    <w:rsid w:val="63CA202C"/>
    <w:rsid w:val="63F61ADD"/>
    <w:rsid w:val="65B3015E"/>
    <w:rsid w:val="65C92FEA"/>
    <w:rsid w:val="66314B40"/>
    <w:rsid w:val="663C1A0D"/>
    <w:rsid w:val="66E52B88"/>
    <w:rsid w:val="68091DC3"/>
    <w:rsid w:val="68DF2184"/>
    <w:rsid w:val="68FD36D6"/>
    <w:rsid w:val="69140A20"/>
    <w:rsid w:val="69192EB8"/>
    <w:rsid w:val="69356B9A"/>
    <w:rsid w:val="6A0E058D"/>
    <w:rsid w:val="6A66063A"/>
    <w:rsid w:val="6A793A20"/>
    <w:rsid w:val="6AE80B9F"/>
    <w:rsid w:val="6C592EA5"/>
    <w:rsid w:val="6D1E3C1B"/>
    <w:rsid w:val="6E0E6145"/>
    <w:rsid w:val="6E14501E"/>
    <w:rsid w:val="6F334083"/>
    <w:rsid w:val="6FBE003D"/>
    <w:rsid w:val="70481995"/>
    <w:rsid w:val="706A2151"/>
    <w:rsid w:val="70795C11"/>
    <w:rsid w:val="70A27315"/>
    <w:rsid w:val="7242215A"/>
    <w:rsid w:val="72883C18"/>
    <w:rsid w:val="729D45B7"/>
    <w:rsid w:val="72E871A5"/>
    <w:rsid w:val="73F87288"/>
    <w:rsid w:val="74AD4FF2"/>
    <w:rsid w:val="75EF25F8"/>
    <w:rsid w:val="75FD0889"/>
    <w:rsid w:val="76CA6F7F"/>
    <w:rsid w:val="76FB3BFD"/>
    <w:rsid w:val="7772528F"/>
    <w:rsid w:val="77FBCAB0"/>
    <w:rsid w:val="78372035"/>
    <w:rsid w:val="794E2CEA"/>
    <w:rsid w:val="798D4DBB"/>
    <w:rsid w:val="79CB793E"/>
    <w:rsid w:val="7A7FA39B"/>
    <w:rsid w:val="7A917F70"/>
    <w:rsid w:val="7ADB7F6E"/>
    <w:rsid w:val="7ADC5A88"/>
    <w:rsid w:val="7BAE706D"/>
    <w:rsid w:val="7BD65048"/>
    <w:rsid w:val="7BFE1A3C"/>
    <w:rsid w:val="7C286864"/>
    <w:rsid w:val="7C303296"/>
    <w:rsid w:val="7E1101F0"/>
    <w:rsid w:val="7E63660D"/>
    <w:rsid w:val="7E7A604F"/>
    <w:rsid w:val="7EF64A87"/>
    <w:rsid w:val="7F737DF6"/>
    <w:rsid w:val="7FA707F8"/>
    <w:rsid w:val="7FEE0568"/>
    <w:rsid w:val="7FF92485"/>
    <w:rsid w:val="BFB7D5C1"/>
    <w:rsid w:val="BFFD43DD"/>
    <w:rsid w:val="CAFF7873"/>
    <w:rsid w:val="D77F5AB8"/>
    <w:rsid w:val="DBFF863C"/>
    <w:rsid w:val="DDDEFB52"/>
    <w:rsid w:val="DFFC5ABA"/>
    <w:rsid w:val="E7E3E8EC"/>
    <w:rsid w:val="EDDB38FB"/>
    <w:rsid w:val="EF7E9A19"/>
    <w:rsid w:val="F67B4C47"/>
    <w:rsid w:val="F7178B2B"/>
    <w:rsid w:val="FAFFC1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3">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unhideWhenUsed/>
    <w:qFormat/>
    <w:uiPriority w:val="99"/>
    <w:rPr>
      <w:b/>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Body Text First Indent 2"/>
    <w:basedOn w:val="1"/>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4">
    <w:name w:val="p0"/>
    <w:basedOn w:val="1"/>
    <w:qFormat/>
    <w:uiPriority w:val="0"/>
    <w:pPr>
      <w:widowControl/>
    </w:pPr>
    <w:rPr>
      <w:rFonts w:eastAsia="仿宋_GB2312"/>
      <w:kern w:val="0"/>
      <w:sz w:val="32"/>
      <w:szCs w:val="21"/>
    </w:rPr>
  </w:style>
  <w:style w:type="character" w:customStyle="1" w:styleId="15">
    <w:name w:val="font41"/>
    <w:basedOn w:val="13"/>
    <w:qFormat/>
    <w:uiPriority w:val="0"/>
    <w:rPr>
      <w:rFonts w:hint="eastAsia" w:ascii="宋体" w:hAnsi="宋体" w:eastAsia="宋体" w:cs="宋体"/>
      <w:b/>
      <w:bCs/>
      <w:color w:val="000000"/>
      <w:sz w:val="20"/>
      <w:szCs w:val="20"/>
      <w:u w:val="none"/>
    </w:rPr>
  </w:style>
  <w:style w:type="character" w:customStyle="1" w:styleId="16">
    <w:name w:val="font11"/>
    <w:basedOn w:val="13"/>
    <w:qFormat/>
    <w:uiPriority w:val="0"/>
    <w:rPr>
      <w:rFonts w:ascii="Arial" w:hAnsi="Arial" w:cs="Arial"/>
      <w:b/>
      <w:bCs/>
      <w:color w:val="000000"/>
      <w:sz w:val="20"/>
      <w:szCs w:val="20"/>
      <w:u w:val="none"/>
    </w:rPr>
  </w:style>
  <w:style w:type="character" w:customStyle="1" w:styleId="17">
    <w:name w:val="font51"/>
    <w:basedOn w:val="13"/>
    <w:qFormat/>
    <w:uiPriority w:val="0"/>
    <w:rPr>
      <w:rFonts w:hint="default" w:ascii="Arial" w:hAnsi="Arial" w:cs="Arial"/>
      <w:b/>
      <w:bCs/>
      <w:color w:val="000000"/>
      <w:sz w:val="20"/>
      <w:szCs w:val="20"/>
      <w:u w:val="none"/>
    </w:rPr>
  </w:style>
  <w:style w:type="character" w:customStyle="1" w:styleId="18">
    <w:name w:val="font31"/>
    <w:basedOn w:val="13"/>
    <w:qFormat/>
    <w:uiPriority w:val="0"/>
    <w:rPr>
      <w:rFonts w:hint="default" w:ascii="方正书宋简体" w:hAnsi="方正书宋简体" w:eastAsia="方正书宋简体" w:cs="方正书宋简体"/>
      <w:color w:val="000000"/>
      <w:sz w:val="18"/>
      <w:szCs w:val="18"/>
      <w:u w:val="none"/>
    </w:rPr>
  </w:style>
  <w:style w:type="paragraph" w:customStyle="1" w:styleId="19">
    <w:name w:val="WPSOffice手动目录 1"/>
    <w:qFormat/>
    <w:uiPriority w:val="0"/>
    <w:pPr>
      <w:ind w:leftChars="0"/>
    </w:pPr>
    <w:rPr>
      <w:rFonts w:ascii="Times New Roman" w:hAnsi="Times New Roman" w:eastAsia="宋体" w:cs="Times New Roman"/>
      <w:sz w:val="20"/>
      <w:szCs w:val="20"/>
    </w:rPr>
  </w:style>
  <w:style w:type="paragraph" w:customStyle="1" w:styleId="20">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1418</Words>
  <Characters>1519</Characters>
  <Lines>0</Lines>
  <Paragraphs>0</Paragraphs>
  <TotalTime>0</TotalTime>
  <ScaleCrop>false</ScaleCrop>
  <LinksUpToDate>false</LinksUpToDate>
  <CharactersWithSpaces>1722</CharactersWithSpaces>
  <Application>WWO_openplatform_20210902171309-902389ccc8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2021-05-15T16:11:00Z</dcterms:created>
  <dc:creator>听说你是六只菠萝</dc:creator>
  <cp:lastModifiedBy>kylin</cp:lastModifiedBy>
  <cp:lastPrinted>2026-03-06T03:36:00Z</cp:lastPrinted>
  <dcterms:modified xsi:type="dcterms:W3CDTF">2026-03-06T15:30:39Z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76BF1F2AE5E34A148250C8FEAB32D8D4_13</vt:lpwstr>
  </property>
  <property fmtid="{D5CDD505-2E9C-101B-9397-08002B2CF9AE}" pid="4" name="KSOTemplateDocerSaveRecord">
    <vt:lpwstr>eyJoZGlkIjoiMmNhNjBjODM2MWQyNTdmZWJjNjg1ODJiOTFjMWYzZTYiLCJ1c2VySWQiOiI2Mjg0NDkxMjcifQ==</vt:lpwstr>
  </property>
  <property fmtid="{D5CDD505-2E9C-101B-9397-08002B2CF9AE}" pid="5" name="woTemplateTypoMode" linkTarget="0">
    <vt:lpwstr>web</vt:lpwstr>
  </property>
  <property fmtid="{D5CDD505-2E9C-101B-9397-08002B2CF9AE}" pid="6" name="woTemplate" linkTarget="0">
    <vt:i4>1</vt:i4>
  </property>
</Properties>
</file>