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宋体" w:eastAsia="黑体" w:cs="Arial"/>
          <w:bCs/>
          <w:color w:val="000000"/>
          <w:sz w:val="32"/>
          <w:szCs w:val="32"/>
        </w:rPr>
      </w:pPr>
    </w:p>
    <w:p>
      <w:pPr>
        <w:spacing w:line="360" w:lineRule="auto"/>
        <w:jc w:val="center"/>
        <w:rPr>
          <w:rFonts w:ascii="方正小标宋简体" w:hAnsi="宋体" w:eastAsia="方正小标宋简体" w:cs="Arial"/>
          <w:bCs/>
          <w:color w:val="000000"/>
          <w:sz w:val="44"/>
          <w:szCs w:val="44"/>
        </w:rPr>
      </w:pPr>
      <w:r>
        <w:rPr>
          <w:rFonts w:hint="eastAsia" w:ascii="方正小标宋简体" w:hAnsi="宋体" w:eastAsia="方正小标宋简体" w:cs="Arial"/>
          <w:bCs/>
          <w:color w:val="000000"/>
          <w:sz w:val="44"/>
          <w:szCs w:val="44"/>
        </w:rPr>
        <w:t xml:space="preserve"> 项目支出部门评价报告</w:t>
      </w:r>
    </w:p>
    <w:p>
      <w:pPr>
        <w:spacing w:line="360" w:lineRule="auto"/>
        <w:jc w:val="center"/>
        <w:rPr>
          <w:rFonts w:ascii="方正小标宋简体" w:hAnsi="宋体" w:eastAsia="方正小标宋简体" w:cs="Arial"/>
          <w:bCs/>
          <w:color w:val="000000"/>
          <w:sz w:val="44"/>
          <w:szCs w:val="44"/>
        </w:rPr>
      </w:pPr>
    </w:p>
    <w:p>
      <w:pPr>
        <w:spacing w:line="360" w:lineRule="auto"/>
        <w:jc w:val="center"/>
        <w:rPr>
          <w:rFonts w:ascii="黑体" w:hAnsi="宋体" w:eastAsia="黑体" w:cs="Arial"/>
          <w:bCs/>
          <w:color w:val="000000"/>
          <w:sz w:val="32"/>
          <w:szCs w:val="32"/>
        </w:rPr>
      </w:pPr>
    </w:p>
    <w:p>
      <w:pPr>
        <w:spacing w:line="360" w:lineRule="auto"/>
        <w:ind w:firstLine="800" w:firstLineChars="250"/>
        <w:jc w:val="left"/>
        <w:rPr>
          <w:rFonts w:ascii="黑体" w:hAnsi="黑体" w:eastAsia="黑体" w:cs="黑体"/>
          <w:bCs/>
          <w:color w:val="000000"/>
          <w:sz w:val="32"/>
          <w:szCs w:val="32"/>
          <w:u w:val="single"/>
        </w:rPr>
      </w:pPr>
      <w:r>
        <w:rPr>
          <w:rFonts w:hint="eastAsia" w:ascii="黑体" w:hAnsi="宋体" w:eastAsia="黑体" w:cs="Arial"/>
          <w:bCs/>
          <w:color w:val="000000"/>
          <w:sz w:val="32"/>
          <w:szCs w:val="32"/>
        </w:rPr>
        <w:t>评价类型：</w:t>
      </w:r>
      <w:r>
        <w:rPr>
          <w:rFonts w:hint="eastAsia" w:ascii="黑体" w:hAnsi="宋体" w:eastAsia="黑体" w:cs="Arial"/>
          <w:bCs/>
          <w:color w:val="000000"/>
          <w:sz w:val="32"/>
          <w:szCs w:val="32"/>
          <w:u w:val="single"/>
        </w:rPr>
        <w:t xml:space="preserve">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rPr>
        <w:t xml:space="preserve">实施过程评价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rPr>
        <w:t xml:space="preserve">完成结果评价            </w:t>
      </w:r>
    </w:p>
    <w:p>
      <w:pPr>
        <w:spacing w:line="360" w:lineRule="auto"/>
        <w:jc w:val="left"/>
        <w:rPr>
          <w:rFonts w:ascii="黑体" w:hAnsi="宋体" w:eastAsia="黑体" w:cs="Arial"/>
          <w:bCs/>
          <w:color w:val="000000"/>
          <w:sz w:val="32"/>
          <w:szCs w:val="32"/>
        </w:rPr>
      </w:pPr>
    </w:p>
    <w:p>
      <w:pPr>
        <w:spacing w:line="360" w:lineRule="auto"/>
        <w:ind w:firstLine="800" w:firstLineChars="250"/>
        <w:jc w:val="left"/>
        <w:rPr>
          <w:rFonts w:ascii="黑体" w:hAnsi="宋体" w:eastAsia="黑体" w:cs="Arial"/>
          <w:bCs/>
          <w:color w:val="000000"/>
          <w:sz w:val="32"/>
          <w:szCs w:val="32"/>
        </w:rPr>
      </w:pPr>
      <w:r>
        <w:rPr>
          <w:rFonts w:hint="eastAsia" w:ascii="黑体" w:hAnsi="宋体" w:eastAsia="黑体" w:cs="Arial"/>
          <w:bCs/>
          <w:color w:val="000000"/>
          <w:sz w:val="32"/>
          <w:szCs w:val="32"/>
        </w:rPr>
        <w:t>项目名称：</w:t>
      </w:r>
      <w:r>
        <w:rPr>
          <w:rFonts w:hint="eastAsia" w:ascii="黑体" w:hAnsi="宋体" w:eastAsia="黑体" w:cs="Arial"/>
          <w:bCs/>
          <w:color w:val="000000"/>
          <w:sz w:val="32"/>
          <w:szCs w:val="32"/>
          <w:u w:val="single"/>
        </w:rPr>
        <w:t xml:space="preserve"> 市本级公益性公墓建设（城北及城东）项目</w:t>
      </w:r>
      <w:r>
        <w:rPr>
          <w:rFonts w:hint="eastAsia" w:ascii="黑体" w:hAnsi="黑体" w:eastAsia="黑体" w:cs="黑体"/>
          <w:bCs/>
          <w:color w:val="000000"/>
          <w:sz w:val="32"/>
          <w:szCs w:val="32"/>
          <w:u w:val="single"/>
        </w:rPr>
        <w:t xml:space="preserve">                      </w:t>
      </w:r>
    </w:p>
    <w:p>
      <w:pPr>
        <w:spacing w:line="360" w:lineRule="auto"/>
        <w:jc w:val="left"/>
        <w:rPr>
          <w:rFonts w:ascii="黑体" w:hAnsi="宋体" w:eastAsia="黑体" w:cs="Arial"/>
          <w:bCs/>
          <w:color w:val="000000"/>
          <w:sz w:val="32"/>
          <w:szCs w:val="32"/>
        </w:rPr>
      </w:pPr>
    </w:p>
    <w:p>
      <w:pPr>
        <w:spacing w:line="360" w:lineRule="auto"/>
        <w:ind w:firstLine="800" w:firstLineChars="250"/>
        <w:jc w:val="left"/>
        <w:rPr>
          <w:rFonts w:ascii="黑体" w:hAnsi="黑体" w:eastAsia="黑体" w:cs="黑体"/>
          <w:bCs/>
          <w:color w:val="000000"/>
          <w:sz w:val="32"/>
          <w:szCs w:val="32"/>
          <w:u w:val="single"/>
        </w:rPr>
      </w:pPr>
      <w:r>
        <w:rPr>
          <w:rFonts w:hint="eastAsia" w:ascii="黑体" w:hAnsi="宋体" w:eastAsia="黑体" w:cs="Arial"/>
          <w:bCs/>
          <w:color w:val="000000"/>
          <w:sz w:val="32"/>
          <w:szCs w:val="32"/>
        </w:rPr>
        <w:t>项目单位：</w:t>
      </w:r>
      <w:r>
        <w:rPr>
          <w:rFonts w:hint="eastAsia" w:ascii="黑体" w:hAnsi="宋体" w:eastAsia="黑体" w:cs="Arial"/>
          <w:bCs/>
          <w:color w:val="000000"/>
          <w:sz w:val="32"/>
          <w:szCs w:val="32"/>
          <w:u w:val="single"/>
        </w:rPr>
        <w:t xml:space="preserve">         南昌市殡仪服务中心</w:t>
      </w:r>
      <w:r>
        <w:rPr>
          <w:rFonts w:hint="eastAsia" w:ascii="黑体" w:hAnsi="黑体" w:eastAsia="黑体" w:cs="黑体"/>
          <w:bCs/>
          <w:color w:val="000000"/>
          <w:sz w:val="32"/>
          <w:szCs w:val="32"/>
          <w:u w:val="single"/>
        </w:rPr>
        <w:t xml:space="preserve">               </w:t>
      </w:r>
    </w:p>
    <w:p>
      <w:pPr>
        <w:spacing w:line="360" w:lineRule="auto"/>
        <w:ind w:firstLine="800" w:firstLineChars="250"/>
        <w:jc w:val="left"/>
        <w:rPr>
          <w:rFonts w:ascii="黑体" w:hAnsi="黑体" w:eastAsia="黑体" w:cs="黑体"/>
          <w:bCs/>
          <w:color w:val="000000"/>
          <w:sz w:val="32"/>
          <w:szCs w:val="32"/>
          <w:u w:val="single"/>
        </w:rPr>
      </w:pPr>
    </w:p>
    <w:p>
      <w:pPr>
        <w:spacing w:line="360" w:lineRule="auto"/>
        <w:ind w:firstLine="800" w:firstLineChars="250"/>
        <w:jc w:val="left"/>
        <w:rPr>
          <w:rFonts w:ascii="黑体" w:hAnsi="宋体" w:eastAsia="黑体" w:cs="Arial"/>
          <w:bCs/>
          <w:color w:val="000000"/>
          <w:sz w:val="32"/>
          <w:szCs w:val="32"/>
        </w:rPr>
      </w:pPr>
      <w:r>
        <w:rPr>
          <w:rFonts w:hint="eastAsia" w:ascii="黑体" w:hAnsi="黑体" w:eastAsia="黑体" w:cs="黑体"/>
          <w:bCs/>
          <w:color w:val="000000"/>
          <w:sz w:val="32"/>
          <w:szCs w:val="32"/>
        </w:rPr>
        <w:t>主管部门：</w:t>
      </w:r>
      <w:r>
        <w:rPr>
          <w:rFonts w:hint="eastAsia" w:ascii="黑体" w:hAnsi="黑体" w:eastAsia="黑体" w:cs="黑体"/>
          <w:bCs/>
          <w:color w:val="000000"/>
          <w:sz w:val="32"/>
          <w:szCs w:val="32"/>
          <w:u w:val="single"/>
        </w:rPr>
        <w:t xml:space="preserve">          南昌市民政局  （盖章）                </w:t>
      </w:r>
    </w:p>
    <w:p>
      <w:pPr>
        <w:spacing w:line="360" w:lineRule="auto"/>
        <w:jc w:val="left"/>
        <w:rPr>
          <w:rFonts w:ascii="黑体" w:hAnsi="宋体" w:eastAsia="黑体" w:cs="Arial"/>
          <w:bCs/>
          <w:color w:val="000000"/>
          <w:sz w:val="32"/>
          <w:szCs w:val="32"/>
        </w:rPr>
      </w:pPr>
    </w:p>
    <w:p>
      <w:pPr>
        <w:spacing w:line="360" w:lineRule="auto"/>
        <w:ind w:firstLine="800" w:firstLineChars="250"/>
        <w:jc w:val="left"/>
        <w:rPr>
          <w:rFonts w:ascii="黑体" w:hAnsi="宋体" w:eastAsia="黑体" w:cs="Arial"/>
          <w:bCs/>
          <w:color w:val="000000"/>
          <w:sz w:val="32"/>
          <w:szCs w:val="32"/>
        </w:rPr>
      </w:pPr>
      <w:r>
        <w:rPr>
          <w:rFonts w:hint="eastAsia" w:ascii="黑体" w:hAnsi="宋体" w:eastAsia="黑体" w:cs="Arial"/>
          <w:bCs/>
          <w:color w:val="000000"/>
          <w:sz w:val="32"/>
          <w:szCs w:val="32"/>
        </w:rPr>
        <w:t>评价时间：</w:t>
      </w:r>
      <w:r>
        <w:rPr>
          <w:rFonts w:hint="eastAsia" w:ascii="黑体" w:hAnsi="黑体" w:eastAsia="黑体" w:cs="黑体"/>
          <w:bCs/>
          <w:color w:val="000000"/>
          <w:sz w:val="32"/>
          <w:szCs w:val="32"/>
          <w:u w:val="single"/>
        </w:rPr>
        <w:t xml:space="preserve">   2025年1月1日 至 2025年 12 月 31 日    </w:t>
      </w:r>
    </w:p>
    <w:p>
      <w:pPr>
        <w:spacing w:line="360" w:lineRule="auto"/>
        <w:jc w:val="left"/>
        <w:rPr>
          <w:rFonts w:ascii="黑体" w:hAnsi="宋体" w:eastAsia="黑体" w:cs="Arial"/>
          <w:bCs/>
          <w:color w:val="000000"/>
          <w:sz w:val="32"/>
          <w:szCs w:val="32"/>
        </w:rPr>
      </w:pPr>
    </w:p>
    <w:p>
      <w:pPr>
        <w:spacing w:line="360" w:lineRule="auto"/>
        <w:ind w:firstLine="800" w:firstLineChars="250"/>
        <w:jc w:val="left"/>
        <w:rPr>
          <w:rFonts w:ascii="黑体" w:hAnsi="宋体" w:eastAsia="黑体" w:cs="Arial"/>
          <w:bCs/>
          <w:color w:val="000000"/>
          <w:sz w:val="32"/>
          <w:szCs w:val="32"/>
          <w:u w:val="single"/>
        </w:rPr>
      </w:pPr>
      <w:r>
        <w:rPr>
          <w:rFonts w:hint="eastAsia" w:ascii="黑体" w:hAnsi="宋体" w:eastAsia="黑体" w:cs="Arial"/>
          <w:bCs/>
          <w:color w:val="000000"/>
          <w:sz w:val="32"/>
          <w:szCs w:val="32"/>
        </w:rPr>
        <w:t>评价机构：</w:t>
      </w:r>
      <w:r>
        <w:rPr>
          <w:rFonts w:hint="eastAsia" w:ascii="黑体" w:hAnsi="宋体" w:eastAsia="黑体" w:cs="Arial"/>
          <w:bCs/>
          <w:color w:val="000000"/>
          <w:sz w:val="32"/>
          <w:szCs w:val="32"/>
          <w:u w:val="single"/>
        </w:rPr>
        <w:t xml:space="preserve"> </w:t>
      </w:r>
      <w:r>
        <w:rPr>
          <w:rFonts w:hint="eastAsia" w:ascii="黑体" w:hAnsi="黑体" w:eastAsia="黑体" w:cs="黑体"/>
          <w:bCs/>
          <w:color w:val="000000"/>
          <w:sz w:val="32"/>
          <w:szCs w:val="32"/>
          <w:u w:val="single"/>
        </w:rPr>
        <w:sym w:font="Wingdings 2" w:char="00A3"/>
      </w:r>
      <w:r>
        <w:rPr>
          <w:rFonts w:hint="eastAsia" w:ascii="黑体" w:hAnsi="黑体" w:eastAsia="黑体" w:cs="黑体"/>
          <w:bCs/>
          <w:color w:val="000000"/>
          <w:sz w:val="32"/>
          <w:szCs w:val="32"/>
          <w:u w:val="single"/>
        </w:rPr>
        <w:t xml:space="preserve">第三方机构    </w:t>
      </w:r>
      <w:r>
        <w:rPr>
          <w:rFonts w:hint="eastAsia" w:ascii="黑体" w:hAnsi="黑体" w:eastAsia="黑体" w:cs="黑体"/>
          <w:bCs/>
          <w:color w:val="000000"/>
          <w:sz w:val="32"/>
          <w:szCs w:val="32"/>
          <w:u w:val="single"/>
        </w:rPr>
        <w:sym w:font="Wingdings 2" w:char="00A3"/>
      </w:r>
      <w:r>
        <w:rPr>
          <w:rFonts w:hint="eastAsia" w:ascii="黑体" w:hAnsi="黑体" w:eastAsia="黑体" w:cs="黑体"/>
          <w:bCs/>
          <w:color w:val="000000"/>
          <w:sz w:val="32"/>
          <w:szCs w:val="32"/>
          <w:u w:val="single"/>
        </w:rPr>
        <w:t xml:space="preserve">专家组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rPr>
        <w:t xml:space="preserve">部门评价组            </w:t>
      </w:r>
    </w:p>
    <w:p>
      <w:pPr>
        <w:spacing w:line="360" w:lineRule="auto"/>
        <w:jc w:val="center"/>
        <w:rPr>
          <w:rFonts w:ascii="黑体" w:hAnsi="宋体" w:eastAsia="黑体" w:cs="Arial"/>
          <w:bCs/>
          <w:color w:val="000000"/>
          <w:sz w:val="32"/>
          <w:szCs w:val="32"/>
        </w:rPr>
      </w:pPr>
    </w:p>
    <w:p>
      <w:pPr>
        <w:spacing w:line="360" w:lineRule="auto"/>
        <w:jc w:val="center"/>
        <w:rPr>
          <w:rFonts w:ascii="黑体" w:hAnsi="宋体" w:eastAsia="黑体" w:cs="Arial"/>
          <w:bCs/>
          <w:color w:val="000000"/>
          <w:sz w:val="32"/>
          <w:szCs w:val="32"/>
        </w:rPr>
      </w:pPr>
    </w:p>
    <w:p>
      <w:pPr>
        <w:spacing w:line="360" w:lineRule="auto"/>
        <w:jc w:val="center"/>
        <w:rPr>
          <w:rFonts w:ascii="黑体" w:hAnsi="宋体" w:eastAsia="黑体" w:cs="Arial"/>
          <w:bCs/>
          <w:color w:val="000000"/>
          <w:sz w:val="32"/>
          <w:szCs w:val="32"/>
        </w:rPr>
      </w:pPr>
    </w:p>
    <w:p>
      <w:pPr>
        <w:spacing w:line="360" w:lineRule="auto"/>
        <w:jc w:val="center"/>
        <w:rPr>
          <w:rFonts w:ascii="黑体" w:hAnsi="宋体" w:eastAsia="黑体" w:cs="Arial"/>
          <w:bCs/>
          <w:color w:val="000000"/>
          <w:sz w:val="32"/>
          <w:szCs w:val="32"/>
        </w:rPr>
      </w:pPr>
      <w:r>
        <w:rPr>
          <w:rFonts w:hint="eastAsia" w:ascii="黑体" w:hAnsi="宋体" w:eastAsia="黑体" w:cs="Arial"/>
          <w:bCs/>
          <w:color w:val="000000"/>
          <w:sz w:val="32"/>
          <w:szCs w:val="32"/>
        </w:rPr>
        <w:t xml:space="preserve">2026年 </w:t>
      </w:r>
      <w:r>
        <w:rPr>
          <w:rFonts w:hint="default" w:ascii="黑体" w:hAnsi="宋体" w:eastAsia="黑体" w:cs="Arial"/>
          <w:bCs/>
          <w:color w:val="000000"/>
          <w:sz w:val="32"/>
          <w:szCs w:val="32"/>
          <w:lang w:val="en-US"/>
        </w:rPr>
        <w:t>3</w:t>
      </w:r>
      <w:r>
        <w:rPr>
          <w:rFonts w:hint="eastAsia" w:ascii="黑体" w:hAnsi="宋体" w:eastAsia="黑体" w:cs="Arial"/>
          <w:bCs/>
          <w:color w:val="000000"/>
          <w:sz w:val="32"/>
          <w:szCs w:val="32"/>
        </w:rPr>
        <w:t xml:space="preserve">月 </w:t>
      </w:r>
      <w:r>
        <w:rPr>
          <w:rFonts w:hint="default" w:ascii="黑体" w:hAnsi="宋体" w:eastAsia="黑体" w:cs="Arial"/>
          <w:bCs/>
          <w:color w:val="000000"/>
          <w:sz w:val="32"/>
          <w:szCs w:val="32"/>
          <w:lang w:val="en-US" w:eastAsia="zh-CN"/>
        </w:rPr>
        <w:t>2</w:t>
      </w:r>
      <w:r>
        <w:rPr>
          <w:rFonts w:hint="eastAsia" w:ascii="黑体" w:hAnsi="宋体" w:eastAsia="黑体" w:cs="Arial"/>
          <w:bCs/>
          <w:color w:val="000000"/>
          <w:sz w:val="32"/>
          <w:szCs w:val="32"/>
        </w:rPr>
        <w:t>日</w:t>
      </w:r>
    </w:p>
    <w:p>
      <w:pPr>
        <w:spacing w:line="360" w:lineRule="auto"/>
        <w:jc w:val="center"/>
        <w:rPr>
          <w:rFonts w:ascii="黑体" w:hAnsi="宋体" w:eastAsia="黑体" w:cs="Arial"/>
          <w:bCs/>
          <w:color w:val="000000"/>
          <w:sz w:val="32"/>
          <w:szCs w:val="32"/>
        </w:rPr>
      </w:pPr>
    </w:p>
    <w:p>
      <w:pPr>
        <w:pStyle w:val="5"/>
        <w:spacing w:line="360" w:lineRule="auto"/>
        <w:rPr>
          <w:rFonts w:ascii="黑体" w:hAnsi="宋体" w:eastAsia="黑体" w:cs="Arial"/>
          <w:bCs/>
          <w:color w:val="000000"/>
          <w:sz w:val="32"/>
          <w:szCs w:val="32"/>
        </w:rPr>
      </w:pPr>
    </w:p>
    <w:sdt>
      <w:sdtPr>
        <w:rPr>
          <w:rFonts w:ascii="宋体" w:hAnsi="宋体"/>
          <w:b/>
        </w:rPr>
        <w:id w:val="147451480"/>
      </w:sdtPr>
      <w:sdtEndPr>
        <w:rPr>
          <w:rFonts w:hint="eastAsia" w:ascii="黑体" w:hAnsi="宋体" w:eastAsia="黑体" w:cs="Arial"/>
          <w:b/>
          <w:bCs/>
          <w:color w:val="000000"/>
          <w:sz w:val="32"/>
          <w:szCs w:val="32"/>
        </w:rPr>
      </w:sdtEndPr>
      <w:sdtContent>
        <w:p>
          <w:pPr>
            <w:jc w:val="center"/>
            <w:rPr>
              <w:rFonts w:ascii="黑体" w:hAnsi="黑体" w:eastAsia="黑体" w:cs="黑体"/>
              <w:sz w:val="44"/>
              <w:szCs w:val="40"/>
            </w:rPr>
          </w:pPr>
          <w:r>
            <w:rPr>
              <w:rFonts w:hint="eastAsia" w:ascii="黑体" w:hAnsi="黑体" w:eastAsia="黑体" w:cs="黑体"/>
              <w:sz w:val="44"/>
              <w:szCs w:val="40"/>
            </w:rPr>
            <w:t>目录</w:t>
          </w:r>
        </w:p>
        <w:p>
          <w:pPr>
            <w:pStyle w:val="10"/>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color w:val="000000"/>
              <w:sz w:val="32"/>
              <w:szCs w:val="32"/>
            </w:rPr>
            <w:instrText xml:space="preserve">TOC \o "1-2" \h \u </w:instrText>
          </w:r>
          <w:r>
            <w:rPr>
              <w:rFonts w:hint="eastAsia" w:ascii="黑体" w:hAnsi="宋体" w:eastAsia="黑体" w:cs="Arial"/>
              <w:bCs/>
              <w:color w:val="000000"/>
              <w:sz w:val="32"/>
              <w:szCs w:val="32"/>
            </w:rPr>
            <w:fldChar w:fldCharType="separate"/>
          </w:r>
          <w:r>
            <w:fldChar w:fldCharType="begin"/>
          </w:r>
          <w:r>
            <w:instrText xml:space="preserve"> HYPERLINK \l "_Toc1458" </w:instrText>
          </w:r>
          <w:r>
            <w:fldChar w:fldCharType="separate"/>
          </w:r>
          <w:r>
            <w:rPr>
              <w:rFonts w:hint="eastAsia" w:ascii="黑体" w:hAnsi="黑体" w:eastAsia="黑体"/>
              <w:sz w:val="32"/>
              <w:szCs w:val="32"/>
            </w:rPr>
            <w:t>一、基本情况</w:t>
          </w:r>
          <w:r>
            <w:rPr>
              <w:sz w:val="32"/>
              <w:szCs w:val="32"/>
            </w:rPr>
            <w:tab/>
          </w:r>
          <w:r>
            <w:rPr>
              <w:sz w:val="32"/>
              <w:szCs w:val="32"/>
            </w:rPr>
            <w:fldChar w:fldCharType="begin"/>
          </w:r>
          <w:r>
            <w:rPr>
              <w:sz w:val="32"/>
              <w:szCs w:val="32"/>
            </w:rPr>
            <w:instrText xml:space="preserve"> PAGEREF _Toc1458 \h </w:instrText>
          </w:r>
          <w:r>
            <w:rPr>
              <w:sz w:val="32"/>
              <w:szCs w:val="32"/>
            </w:rPr>
            <w:fldChar w:fldCharType="separate"/>
          </w:r>
          <w:r>
            <w:rPr>
              <w:sz w:val="32"/>
              <w:szCs w:val="32"/>
            </w:rPr>
            <w:t>3</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"_Toc28642" </w:instrText>
          </w:r>
          <w:r>
            <w:fldChar w:fldCharType="separate"/>
          </w:r>
          <w:r>
            <w:rPr>
              <w:rFonts w:hint="eastAsia" w:ascii="楷体_GB2312" w:hAnsi="楷体_GB2312" w:eastAsia="楷体_GB2312" w:cs="楷体_GB2312"/>
              <w:sz w:val="32"/>
              <w:szCs w:val="32"/>
            </w:rPr>
            <w:t>（一）项目概况</w:t>
          </w:r>
          <w:r>
            <w:rPr>
              <w:sz w:val="32"/>
              <w:szCs w:val="32"/>
            </w:rPr>
            <w:tab/>
          </w:r>
          <w:r>
            <w:rPr>
              <w:sz w:val="32"/>
              <w:szCs w:val="32"/>
            </w:rPr>
            <w:fldChar w:fldCharType="begin"/>
          </w:r>
          <w:r>
            <w:rPr>
              <w:sz w:val="32"/>
              <w:szCs w:val="32"/>
            </w:rPr>
            <w:instrText xml:space="preserve"> PAGEREF _Toc28642 \h </w:instrText>
          </w:r>
          <w:r>
            <w:rPr>
              <w:sz w:val="32"/>
              <w:szCs w:val="32"/>
            </w:rPr>
            <w:fldChar w:fldCharType="separate"/>
          </w:r>
          <w:r>
            <w:rPr>
              <w:sz w:val="32"/>
              <w:szCs w:val="32"/>
            </w:rPr>
            <w:t>3</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"_Toc13976" </w:instrText>
          </w:r>
          <w:r>
            <w:fldChar w:fldCharType="separate"/>
          </w:r>
          <w:r>
            <w:rPr>
              <w:rFonts w:hint="eastAsia" w:ascii="楷体_GB2312" w:hAnsi="楷体_GB2312" w:eastAsia="楷体_GB2312" w:cs="楷体_GB2312"/>
              <w:sz w:val="32"/>
              <w:szCs w:val="32"/>
            </w:rPr>
            <w:t>（二）项目绩效目标</w:t>
          </w:r>
          <w:r>
            <w:rPr>
              <w:sz w:val="32"/>
              <w:szCs w:val="32"/>
            </w:rPr>
            <w:tab/>
          </w:r>
          <w:r>
            <w:rPr>
              <w:sz w:val="32"/>
              <w:szCs w:val="32"/>
            </w:rPr>
            <w:fldChar w:fldCharType="begin"/>
          </w:r>
          <w:r>
            <w:rPr>
              <w:sz w:val="32"/>
              <w:szCs w:val="32"/>
            </w:rPr>
            <w:instrText xml:space="preserve"> PAGEREF _Toc13976 \h </w:instrText>
          </w:r>
          <w:r>
            <w:rPr>
              <w:sz w:val="32"/>
              <w:szCs w:val="32"/>
            </w:rPr>
            <w:fldChar w:fldCharType="separate"/>
          </w:r>
          <w:r>
            <w:rPr>
              <w:sz w:val="32"/>
              <w:szCs w:val="32"/>
            </w:rPr>
            <w:t>5</w:t>
          </w:r>
          <w:r>
            <w:rPr>
              <w:sz w:val="32"/>
              <w:szCs w:val="32"/>
            </w:rPr>
            <w:fldChar w:fldCharType="end"/>
          </w:r>
          <w:r>
            <w:rPr>
              <w:sz w:val="32"/>
              <w:szCs w:val="32"/>
            </w:rPr>
            <w:fldChar w:fldCharType="end"/>
          </w:r>
        </w:p>
        <w:p>
          <w:pPr>
            <w:pStyle w:val="10"/>
            <w:tabs>
              <w:tab w:val="right" w:leader="dot" w:pos="9072"/>
            </w:tabs>
            <w:rPr>
              <w:sz w:val="32"/>
              <w:szCs w:val="32"/>
            </w:rPr>
          </w:pPr>
          <w:r>
            <w:fldChar w:fldCharType="begin"/>
          </w:r>
          <w:r>
            <w:instrText xml:space="preserve"> HYPERLINK \l "_Toc5206" </w:instrText>
          </w:r>
          <w:r>
            <w:fldChar w:fldCharType="separate"/>
          </w:r>
          <w:r>
            <w:rPr>
              <w:rFonts w:hint="eastAsia" w:ascii="黑体" w:hAnsi="黑体" w:eastAsia="黑体"/>
              <w:sz w:val="32"/>
              <w:szCs w:val="32"/>
            </w:rPr>
            <w:t>二、绩效评价工作开展情况</w:t>
          </w:r>
          <w:r>
            <w:rPr>
              <w:sz w:val="32"/>
              <w:szCs w:val="32"/>
            </w:rPr>
            <w:tab/>
          </w:r>
          <w:r>
            <w:rPr>
              <w:sz w:val="32"/>
              <w:szCs w:val="32"/>
            </w:rPr>
            <w:fldChar w:fldCharType="begin"/>
          </w:r>
          <w:r>
            <w:rPr>
              <w:sz w:val="32"/>
              <w:szCs w:val="32"/>
            </w:rPr>
            <w:instrText xml:space="preserve"> PAGEREF _Toc5206 \h </w:instrText>
          </w:r>
          <w:r>
            <w:rPr>
              <w:sz w:val="32"/>
              <w:szCs w:val="32"/>
            </w:rPr>
            <w:fldChar w:fldCharType="separate"/>
          </w:r>
          <w:r>
            <w:rPr>
              <w:sz w:val="32"/>
              <w:szCs w:val="32"/>
            </w:rPr>
            <w:t>5</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"_Toc24679" </w:instrText>
          </w:r>
          <w:r>
            <w:fldChar w:fldCharType="separate"/>
          </w:r>
          <w:r>
            <w:rPr>
              <w:rFonts w:hint="eastAsia" w:ascii="楷体_GB2312" w:hAnsi="楷体_GB2312" w:eastAsia="楷体_GB2312" w:cs="楷体_GB2312"/>
              <w:sz w:val="32"/>
              <w:szCs w:val="32"/>
            </w:rPr>
            <w:t>（一）绩效评价目的、对象和范围</w:t>
          </w:r>
          <w:r>
            <w:rPr>
              <w:sz w:val="32"/>
              <w:szCs w:val="32"/>
            </w:rPr>
            <w:tab/>
          </w:r>
          <w:r>
            <w:rPr>
              <w:sz w:val="32"/>
              <w:szCs w:val="32"/>
            </w:rPr>
            <w:fldChar w:fldCharType="begin"/>
          </w:r>
          <w:r>
            <w:rPr>
              <w:sz w:val="32"/>
              <w:szCs w:val="32"/>
            </w:rPr>
            <w:instrText xml:space="preserve"> PAGEREF _Toc24679 \h </w:instrText>
          </w:r>
          <w:r>
            <w:rPr>
              <w:sz w:val="32"/>
              <w:szCs w:val="32"/>
            </w:rPr>
            <w:fldChar w:fldCharType="separate"/>
          </w:r>
          <w:r>
            <w:rPr>
              <w:sz w:val="32"/>
              <w:szCs w:val="32"/>
            </w:rPr>
            <w:t>6</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"_Toc7047" </w:instrText>
          </w:r>
          <w:r>
            <w:fldChar w:fldCharType="separate"/>
          </w:r>
          <w:r>
            <w:rPr>
              <w:rFonts w:hint="eastAsia" w:ascii="楷体_GB2312" w:hAnsi="楷体_GB2312" w:eastAsia="楷体_GB2312" w:cs="楷体_GB2312"/>
              <w:sz w:val="32"/>
              <w:szCs w:val="32"/>
            </w:rPr>
            <w:t>（二）绩效评价原则、评价指标体系（附表说明）、评价方法、评价标准等</w:t>
          </w:r>
          <w:r>
            <w:rPr>
              <w:sz w:val="32"/>
              <w:szCs w:val="32"/>
            </w:rPr>
            <w:tab/>
          </w:r>
          <w:r>
            <w:rPr>
              <w:sz w:val="32"/>
              <w:szCs w:val="32"/>
            </w:rPr>
            <w:fldChar w:fldCharType="begin"/>
          </w:r>
          <w:r>
            <w:rPr>
              <w:sz w:val="32"/>
              <w:szCs w:val="32"/>
            </w:rPr>
            <w:instrText xml:space="preserve"> PAGEREF _Toc7047 \h </w:instrText>
          </w:r>
          <w:r>
            <w:rPr>
              <w:sz w:val="32"/>
              <w:szCs w:val="32"/>
            </w:rPr>
            <w:fldChar w:fldCharType="separate"/>
          </w:r>
          <w:r>
            <w:rPr>
              <w:sz w:val="32"/>
              <w:szCs w:val="32"/>
            </w:rPr>
            <w:t>6</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"_Toc24225" </w:instrText>
          </w:r>
          <w:r>
            <w:fldChar w:fldCharType="separate"/>
          </w:r>
          <w:r>
            <w:rPr>
              <w:rFonts w:hint="eastAsia" w:ascii="楷体_GB2312" w:hAnsi="楷体_GB2312" w:eastAsia="楷体_GB2312" w:cs="楷体_GB2312"/>
              <w:sz w:val="32"/>
              <w:szCs w:val="32"/>
            </w:rPr>
            <w:t>（三）绩效评价工作过程</w:t>
          </w:r>
          <w:r>
            <w:rPr>
              <w:sz w:val="32"/>
              <w:szCs w:val="32"/>
            </w:rPr>
            <w:tab/>
          </w:r>
          <w:r>
            <w:rPr>
              <w:sz w:val="32"/>
              <w:szCs w:val="32"/>
            </w:rPr>
            <w:fldChar w:fldCharType="begin"/>
          </w:r>
          <w:r>
            <w:rPr>
              <w:sz w:val="32"/>
              <w:szCs w:val="32"/>
            </w:rPr>
            <w:instrText xml:space="preserve"> PAGEREF _Toc24225 \h </w:instrText>
          </w:r>
          <w:r>
            <w:rPr>
              <w:sz w:val="32"/>
              <w:szCs w:val="32"/>
            </w:rPr>
            <w:fldChar w:fldCharType="separate"/>
          </w:r>
          <w:r>
            <w:rPr>
              <w:sz w:val="32"/>
              <w:szCs w:val="32"/>
            </w:rPr>
            <w:t>8</w:t>
          </w:r>
          <w:r>
            <w:rPr>
              <w:sz w:val="32"/>
              <w:szCs w:val="32"/>
            </w:rPr>
            <w:fldChar w:fldCharType="end"/>
          </w:r>
          <w:r>
            <w:rPr>
              <w:sz w:val="32"/>
              <w:szCs w:val="32"/>
            </w:rPr>
            <w:fldChar w:fldCharType="end"/>
          </w:r>
        </w:p>
        <w:p>
          <w:pPr>
            <w:pStyle w:val="10"/>
            <w:tabs>
              <w:tab w:val="right" w:leader="dot" w:pos="9072"/>
            </w:tabs>
            <w:rPr>
              <w:sz w:val="32"/>
              <w:szCs w:val="32"/>
            </w:rPr>
          </w:pPr>
          <w:r>
            <w:fldChar w:fldCharType="begin"/>
          </w:r>
          <w:r>
            <w:instrText xml:space="preserve"> HYPERLINK \l "_Toc148" </w:instrText>
          </w:r>
          <w:r>
            <w:fldChar w:fldCharType="separate"/>
          </w:r>
          <w:r>
            <w:rPr>
              <w:rFonts w:hint="eastAsia" w:ascii="黑体" w:hAnsi="黑体" w:eastAsia="黑体"/>
              <w:sz w:val="32"/>
              <w:szCs w:val="32"/>
            </w:rPr>
            <w:t>三、综合评价情况及评价结论</w:t>
          </w:r>
          <w:r>
            <w:rPr>
              <w:sz w:val="32"/>
              <w:szCs w:val="32"/>
            </w:rPr>
            <w:tab/>
          </w:r>
          <w:r>
            <w:rPr>
              <w:sz w:val="32"/>
              <w:szCs w:val="32"/>
            </w:rPr>
            <w:fldChar w:fldCharType="begin"/>
          </w:r>
          <w:r>
            <w:rPr>
              <w:sz w:val="32"/>
              <w:szCs w:val="32"/>
            </w:rPr>
            <w:instrText xml:space="preserve"> PAGEREF _Toc148 \h </w:instrText>
          </w:r>
          <w:r>
            <w:rPr>
              <w:sz w:val="32"/>
              <w:szCs w:val="32"/>
            </w:rPr>
            <w:fldChar w:fldCharType="separate"/>
          </w:r>
          <w:r>
            <w:rPr>
              <w:sz w:val="32"/>
              <w:szCs w:val="32"/>
            </w:rPr>
            <w:t>8</w:t>
          </w:r>
          <w:r>
            <w:rPr>
              <w:sz w:val="32"/>
              <w:szCs w:val="32"/>
            </w:rPr>
            <w:fldChar w:fldCharType="end"/>
          </w:r>
          <w:r>
            <w:rPr>
              <w:sz w:val="32"/>
              <w:szCs w:val="32"/>
            </w:rPr>
            <w:fldChar w:fldCharType="end"/>
          </w:r>
        </w:p>
        <w:p>
          <w:pPr>
            <w:pStyle w:val="10"/>
            <w:tabs>
              <w:tab w:val="right" w:leader="dot" w:pos="9072"/>
            </w:tabs>
            <w:rPr>
              <w:sz w:val="32"/>
              <w:szCs w:val="32"/>
            </w:rPr>
          </w:pPr>
          <w:r>
            <w:fldChar w:fldCharType="begin"/>
          </w:r>
          <w:r>
            <w:instrText xml:space="preserve"> HYPERLINK \l "_Toc16105" </w:instrText>
          </w:r>
          <w:r>
            <w:fldChar w:fldCharType="separate"/>
          </w:r>
          <w:r>
            <w:rPr>
              <w:rFonts w:hint="eastAsia" w:ascii="黑体" w:hAnsi="黑体" w:eastAsia="黑体"/>
              <w:sz w:val="32"/>
              <w:szCs w:val="32"/>
            </w:rPr>
            <w:t>四、绩效评价指标分析</w:t>
          </w:r>
          <w:r>
            <w:rPr>
              <w:sz w:val="32"/>
              <w:szCs w:val="32"/>
            </w:rPr>
            <w:tab/>
          </w:r>
          <w:r>
            <w:rPr>
              <w:sz w:val="32"/>
              <w:szCs w:val="32"/>
            </w:rPr>
            <w:fldChar w:fldCharType="begin"/>
          </w:r>
          <w:r>
            <w:rPr>
              <w:sz w:val="32"/>
              <w:szCs w:val="32"/>
            </w:rPr>
            <w:instrText xml:space="preserve"> PAGEREF _Toc16105 \h </w:instrText>
          </w:r>
          <w:r>
            <w:rPr>
              <w:sz w:val="32"/>
              <w:szCs w:val="32"/>
            </w:rPr>
            <w:fldChar w:fldCharType="separate"/>
          </w:r>
          <w:r>
            <w:rPr>
              <w:sz w:val="32"/>
              <w:szCs w:val="32"/>
            </w:rPr>
            <w:t>9</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"_Toc9615" </w:instrText>
          </w:r>
          <w:r>
            <w:fldChar w:fldCharType="separate"/>
          </w:r>
          <w:r>
            <w:rPr>
              <w:rFonts w:hint="eastAsia" w:ascii="楷体_GB2312" w:hAnsi="楷体_GB2312" w:eastAsia="楷体_GB2312" w:cs="楷体_GB2312"/>
              <w:sz w:val="32"/>
              <w:szCs w:val="32"/>
            </w:rPr>
            <w:t>（一）项目决策情况</w:t>
          </w:r>
          <w:r>
            <w:rPr>
              <w:sz w:val="32"/>
              <w:szCs w:val="32"/>
            </w:rPr>
            <w:tab/>
          </w:r>
          <w:r>
            <w:rPr>
              <w:sz w:val="32"/>
              <w:szCs w:val="32"/>
            </w:rPr>
            <w:fldChar w:fldCharType="begin"/>
          </w:r>
          <w:r>
            <w:rPr>
              <w:sz w:val="32"/>
              <w:szCs w:val="32"/>
            </w:rPr>
            <w:instrText xml:space="preserve"> PAGEREF _Toc9615 \h </w:instrText>
          </w:r>
          <w:r>
            <w:rPr>
              <w:sz w:val="32"/>
              <w:szCs w:val="32"/>
            </w:rPr>
            <w:fldChar w:fldCharType="separate"/>
          </w:r>
          <w:r>
            <w:rPr>
              <w:sz w:val="32"/>
              <w:szCs w:val="32"/>
            </w:rPr>
            <w:t>9</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"_Toc8730" </w:instrText>
          </w:r>
          <w:r>
            <w:fldChar w:fldCharType="separate"/>
          </w:r>
          <w:r>
            <w:rPr>
              <w:rFonts w:hint="eastAsia" w:ascii="楷体_GB2312" w:hAnsi="楷体_GB2312" w:eastAsia="楷体_GB2312" w:cs="楷体_GB2312"/>
              <w:sz w:val="32"/>
              <w:szCs w:val="32"/>
            </w:rPr>
            <w:t>（二）项目过程情况</w:t>
          </w:r>
          <w:r>
            <w:rPr>
              <w:sz w:val="32"/>
              <w:szCs w:val="32"/>
            </w:rPr>
            <w:tab/>
          </w:r>
          <w:r>
            <w:rPr>
              <w:sz w:val="32"/>
              <w:szCs w:val="32"/>
            </w:rPr>
            <w:fldChar w:fldCharType="begin"/>
          </w:r>
          <w:r>
            <w:rPr>
              <w:sz w:val="32"/>
              <w:szCs w:val="32"/>
            </w:rPr>
            <w:instrText xml:space="preserve"> PAGEREF _Toc8730 \h </w:instrText>
          </w:r>
          <w:r>
            <w:rPr>
              <w:sz w:val="32"/>
              <w:szCs w:val="32"/>
            </w:rPr>
            <w:fldChar w:fldCharType="separate"/>
          </w:r>
          <w:r>
            <w:rPr>
              <w:sz w:val="32"/>
              <w:szCs w:val="32"/>
            </w:rPr>
            <w:t>10</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"_Toc6836" </w:instrText>
          </w:r>
          <w:r>
            <w:fldChar w:fldCharType="separate"/>
          </w:r>
          <w:r>
            <w:rPr>
              <w:rFonts w:hint="eastAsia" w:ascii="楷体_GB2312" w:hAnsi="楷体_GB2312" w:eastAsia="楷体_GB2312" w:cs="楷体_GB2312"/>
              <w:sz w:val="32"/>
              <w:szCs w:val="32"/>
            </w:rPr>
            <w:t>（三）项目产出情况</w:t>
          </w:r>
          <w:r>
            <w:rPr>
              <w:sz w:val="32"/>
              <w:szCs w:val="32"/>
            </w:rPr>
            <w:tab/>
          </w:r>
          <w:r>
            <w:rPr>
              <w:sz w:val="32"/>
              <w:szCs w:val="32"/>
            </w:rPr>
            <w:fldChar w:fldCharType="begin"/>
          </w:r>
          <w:r>
            <w:rPr>
              <w:sz w:val="32"/>
              <w:szCs w:val="32"/>
            </w:rPr>
            <w:instrText xml:space="preserve"> PAGEREF _Toc6836 \h </w:instrText>
          </w:r>
          <w:r>
            <w:rPr>
              <w:sz w:val="32"/>
              <w:szCs w:val="32"/>
            </w:rPr>
            <w:fldChar w:fldCharType="separate"/>
          </w:r>
          <w:r>
            <w:rPr>
              <w:sz w:val="32"/>
              <w:szCs w:val="32"/>
            </w:rPr>
            <w:t>12</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"_Toc10019" </w:instrText>
          </w:r>
          <w:r>
            <w:fldChar w:fldCharType="separate"/>
          </w:r>
          <w:r>
            <w:rPr>
              <w:rFonts w:hint="eastAsia" w:ascii="黑体" w:hAnsi="黑体" w:eastAsia="黑体" w:cs="黑体"/>
              <w:bCs/>
              <w:sz w:val="32"/>
              <w:szCs w:val="32"/>
            </w:rPr>
            <w:t>（</w:t>
          </w:r>
          <w:r>
            <w:rPr>
              <w:rFonts w:hint="eastAsia" w:ascii="楷体_GB2312" w:hAnsi="楷体_GB2312" w:eastAsia="楷体_GB2312" w:cs="楷体_GB2312"/>
              <w:sz w:val="32"/>
              <w:szCs w:val="32"/>
            </w:rPr>
            <w:t>四）项目效益情况</w:t>
          </w:r>
          <w:r>
            <w:rPr>
              <w:sz w:val="32"/>
              <w:szCs w:val="32"/>
            </w:rPr>
            <w:tab/>
          </w:r>
          <w:r>
            <w:rPr>
              <w:sz w:val="32"/>
              <w:szCs w:val="32"/>
            </w:rPr>
            <w:fldChar w:fldCharType="begin"/>
          </w:r>
          <w:r>
            <w:rPr>
              <w:sz w:val="32"/>
              <w:szCs w:val="32"/>
            </w:rPr>
            <w:instrText xml:space="preserve"> PAGEREF _Toc10019 \h </w:instrText>
          </w:r>
          <w:r>
            <w:rPr>
              <w:sz w:val="32"/>
              <w:szCs w:val="32"/>
            </w:rPr>
            <w:fldChar w:fldCharType="separate"/>
          </w:r>
          <w:r>
            <w:rPr>
              <w:sz w:val="32"/>
              <w:szCs w:val="32"/>
            </w:rPr>
            <w:t>13</w:t>
          </w:r>
          <w:r>
            <w:rPr>
              <w:sz w:val="32"/>
              <w:szCs w:val="32"/>
            </w:rPr>
            <w:fldChar w:fldCharType="end"/>
          </w:r>
          <w:r>
            <w:rPr>
              <w:sz w:val="32"/>
              <w:szCs w:val="32"/>
            </w:rPr>
            <w:fldChar w:fldCharType="end"/>
          </w:r>
        </w:p>
        <w:p>
          <w:pPr>
            <w:pStyle w:val="10"/>
            <w:tabs>
              <w:tab w:val="right" w:leader="dot" w:pos="9072"/>
            </w:tabs>
            <w:rPr>
              <w:sz w:val="32"/>
              <w:szCs w:val="32"/>
            </w:rPr>
          </w:pPr>
          <w:r>
            <w:fldChar w:fldCharType="begin"/>
          </w:r>
          <w:r>
            <w:instrText xml:space="preserve"> HYPERLINK \l "_Toc7248" </w:instrText>
          </w:r>
          <w:r>
            <w:fldChar w:fldCharType="separate"/>
          </w:r>
          <w:r>
            <w:rPr>
              <w:rFonts w:hint="eastAsia" w:ascii="黑体" w:hAnsi="黑体" w:eastAsia="黑体"/>
              <w:sz w:val="32"/>
              <w:szCs w:val="32"/>
            </w:rPr>
            <w:t>五、主要经验及做法、存在的问题及原因分析</w:t>
          </w:r>
          <w:r>
            <w:rPr>
              <w:sz w:val="32"/>
              <w:szCs w:val="32"/>
            </w:rPr>
            <w:tab/>
          </w:r>
          <w:r>
            <w:rPr>
              <w:sz w:val="32"/>
              <w:szCs w:val="32"/>
            </w:rPr>
            <w:fldChar w:fldCharType="begin"/>
          </w:r>
          <w:r>
            <w:rPr>
              <w:sz w:val="32"/>
              <w:szCs w:val="32"/>
            </w:rPr>
            <w:instrText xml:space="preserve"> PAGEREF _Toc7248 \h </w:instrText>
          </w:r>
          <w:r>
            <w:rPr>
              <w:sz w:val="32"/>
              <w:szCs w:val="32"/>
            </w:rPr>
            <w:fldChar w:fldCharType="separate"/>
          </w:r>
          <w:r>
            <w:rPr>
              <w:sz w:val="32"/>
              <w:szCs w:val="32"/>
            </w:rPr>
            <w:t>15</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"_Toc13778" </w:instrText>
          </w:r>
          <w:r>
            <w:fldChar w:fldCharType="separate"/>
          </w:r>
          <w:r>
            <w:rPr>
              <w:rFonts w:hint="eastAsia" w:ascii="楷体_GB2312" w:hAnsi="楷体_GB2312" w:eastAsia="楷体_GB2312" w:cs="楷体_GB2312"/>
              <w:bCs/>
              <w:sz w:val="32"/>
              <w:szCs w:val="32"/>
            </w:rPr>
            <w:t xml:space="preserve">（一） </w:t>
          </w:r>
          <w:r>
            <w:rPr>
              <w:rFonts w:hint="eastAsia" w:ascii="楷体_GB2312" w:hAnsi="楷体_GB2312" w:eastAsia="楷体_GB2312" w:cs="楷体_GB2312"/>
              <w:sz w:val="32"/>
              <w:szCs w:val="32"/>
            </w:rPr>
            <w:t>主要经验及做法</w:t>
          </w:r>
          <w:r>
            <w:rPr>
              <w:sz w:val="32"/>
              <w:szCs w:val="32"/>
            </w:rPr>
            <w:tab/>
          </w:r>
          <w:r>
            <w:rPr>
              <w:sz w:val="32"/>
              <w:szCs w:val="32"/>
            </w:rPr>
            <w:fldChar w:fldCharType="begin"/>
          </w:r>
          <w:r>
            <w:rPr>
              <w:sz w:val="32"/>
              <w:szCs w:val="32"/>
            </w:rPr>
            <w:instrText xml:space="preserve"> PAGEREF _Toc13778 \h </w:instrText>
          </w:r>
          <w:r>
            <w:rPr>
              <w:sz w:val="32"/>
              <w:szCs w:val="32"/>
            </w:rPr>
            <w:fldChar w:fldCharType="separate"/>
          </w:r>
          <w:r>
            <w:rPr>
              <w:sz w:val="32"/>
              <w:szCs w:val="32"/>
            </w:rPr>
            <w:t>15</w:t>
          </w:r>
          <w:r>
            <w:rPr>
              <w:sz w:val="32"/>
              <w:szCs w:val="32"/>
            </w:rPr>
            <w:fldChar w:fldCharType="end"/>
          </w:r>
          <w:r>
            <w:rPr>
              <w:sz w:val="32"/>
              <w:szCs w:val="32"/>
            </w:rPr>
            <w:fldChar w:fldCharType="end"/>
          </w:r>
        </w:p>
        <w:p>
          <w:pPr>
            <w:pStyle w:val="11"/>
            <w:tabs>
              <w:tab w:val="right" w:leader="dot" w:pos="9072"/>
            </w:tabs>
            <w:rPr>
              <w:sz w:val="32"/>
              <w:szCs w:val="32"/>
            </w:rPr>
          </w:pPr>
          <w:r>
            <w:fldChar w:fldCharType="begin"/>
          </w:r>
          <w:r>
            <w:instrText xml:space="preserve"> HYPERLINK \l "_Toc25820" </w:instrText>
          </w:r>
          <w:r>
            <w:fldChar w:fldCharType="separate"/>
          </w:r>
          <w:r>
            <w:rPr>
              <w:rFonts w:hint="eastAsia" w:ascii="楷体_GB2312" w:hAnsi="楷体_GB2312" w:eastAsia="楷体_GB2312" w:cs="楷体_GB2312"/>
              <w:sz w:val="32"/>
              <w:szCs w:val="32"/>
            </w:rPr>
            <w:t>（二）存在的问题及原因说明</w:t>
          </w:r>
          <w:r>
            <w:rPr>
              <w:sz w:val="32"/>
              <w:szCs w:val="32"/>
            </w:rPr>
            <w:tab/>
          </w:r>
          <w:r>
            <w:rPr>
              <w:sz w:val="32"/>
              <w:szCs w:val="32"/>
            </w:rPr>
            <w:fldChar w:fldCharType="begin"/>
          </w:r>
          <w:r>
            <w:rPr>
              <w:sz w:val="32"/>
              <w:szCs w:val="32"/>
            </w:rPr>
            <w:instrText xml:space="preserve"> PAGEREF _Toc25820 \h </w:instrText>
          </w:r>
          <w:r>
            <w:rPr>
              <w:sz w:val="32"/>
              <w:szCs w:val="32"/>
            </w:rPr>
            <w:fldChar w:fldCharType="separate"/>
          </w:r>
          <w:r>
            <w:rPr>
              <w:sz w:val="32"/>
              <w:szCs w:val="32"/>
            </w:rPr>
            <w:t>15</w:t>
          </w:r>
          <w:r>
            <w:rPr>
              <w:sz w:val="32"/>
              <w:szCs w:val="32"/>
            </w:rPr>
            <w:fldChar w:fldCharType="end"/>
          </w:r>
          <w:r>
            <w:rPr>
              <w:sz w:val="32"/>
              <w:szCs w:val="32"/>
            </w:rPr>
            <w:fldChar w:fldCharType="end"/>
          </w:r>
        </w:p>
        <w:p>
          <w:pPr>
            <w:pStyle w:val="10"/>
            <w:tabs>
              <w:tab w:val="right" w:leader="dot" w:pos="9072"/>
            </w:tabs>
            <w:rPr>
              <w:sz w:val="32"/>
              <w:szCs w:val="32"/>
            </w:rPr>
          </w:pPr>
          <w:r>
            <w:fldChar w:fldCharType="begin"/>
          </w:r>
          <w:r>
            <w:instrText xml:space="preserve"> HYPERLINK \l "_Toc28921" </w:instrText>
          </w:r>
          <w:r>
            <w:fldChar w:fldCharType="separate"/>
          </w:r>
          <w:r>
            <w:rPr>
              <w:rFonts w:hint="eastAsia" w:ascii="黑体" w:hAnsi="黑体" w:eastAsia="黑体"/>
              <w:sz w:val="32"/>
              <w:szCs w:val="32"/>
            </w:rPr>
            <w:t>六、有关建议</w:t>
          </w:r>
          <w:r>
            <w:rPr>
              <w:sz w:val="32"/>
              <w:szCs w:val="32"/>
            </w:rPr>
            <w:tab/>
          </w:r>
          <w:r>
            <w:rPr>
              <w:sz w:val="32"/>
              <w:szCs w:val="32"/>
            </w:rPr>
            <w:fldChar w:fldCharType="begin"/>
          </w:r>
          <w:r>
            <w:rPr>
              <w:sz w:val="32"/>
              <w:szCs w:val="32"/>
            </w:rPr>
            <w:instrText xml:space="preserve"> PAGEREF _Toc28921 \h </w:instrText>
          </w:r>
          <w:r>
            <w:rPr>
              <w:sz w:val="32"/>
              <w:szCs w:val="32"/>
            </w:rPr>
            <w:fldChar w:fldCharType="separate"/>
          </w:r>
          <w:r>
            <w:rPr>
              <w:sz w:val="32"/>
              <w:szCs w:val="32"/>
            </w:rPr>
            <w:t>16</w:t>
          </w:r>
          <w:r>
            <w:rPr>
              <w:sz w:val="32"/>
              <w:szCs w:val="32"/>
            </w:rPr>
            <w:fldChar w:fldCharType="end"/>
          </w:r>
          <w:r>
            <w:rPr>
              <w:sz w:val="32"/>
              <w:szCs w:val="32"/>
            </w:rPr>
            <w:fldChar w:fldCharType="end"/>
          </w:r>
        </w:p>
        <w:p>
          <w:pPr>
            <w:pStyle w:val="10"/>
            <w:tabs>
              <w:tab w:val="right" w:leader="dot" w:pos="9072"/>
            </w:tabs>
            <w:rPr>
              <w:sz w:val="32"/>
              <w:szCs w:val="32"/>
            </w:rPr>
          </w:pPr>
          <w:r>
            <w:fldChar w:fldCharType="begin"/>
          </w:r>
          <w:r>
            <w:instrText xml:space="preserve"> HYPERLINK \l "_Toc7463" </w:instrText>
          </w:r>
          <w:r>
            <w:fldChar w:fldCharType="separate"/>
          </w:r>
          <w:r>
            <w:rPr>
              <w:rFonts w:hint="eastAsia" w:ascii="黑体" w:hAnsi="黑体" w:eastAsia="黑体"/>
              <w:sz w:val="32"/>
              <w:szCs w:val="32"/>
            </w:rPr>
            <w:t>七、其他需要说明的问题</w:t>
          </w:r>
          <w:r>
            <w:rPr>
              <w:sz w:val="32"/>
              <w:szCs w:val="32"/>
            </w:rPr>
            <w:tab/>
          </w:r>
          <w:r>
            <w:rPr>
              <w:sz w:val="32"/>
              <w:szCs w:val="32"/>
            </w:rPr>
            <w:fldChar w:fldCharType="begin"/>
          </w:r>
          <w:r>
            <w:rPr>
              <w:sz w:val="32"/>
              <w:szCs w:val="32"/>
            </w:rPr>
            <w:instrText xml:space="preserve"> PAGEREF _Toc7463 \h </w:instrText>
          </w:r>
          <w:r>
            <w:rPr>
              <w:sz w:val="32"/>
              <w:szCs w:val="32"/>
            </w:rPr>
            <w:fldChar w:fldCharType="separate"/>
          </w:r>
          <w:r>
            <w:rPr>
              <w:sz w:val="32"/>
              <w:szCs w:val="32"/>
            </w:rPr>
            <w:t>16</w:t>
          </w:r>
          <w:r>
            <w:rPr>
              <w:sz w:val="32"/>
              <w:szCs w:val="32"/>
            </w:rPr>
            <w:fldChar w:fldCharType="end"/>
          </w:r>
          <w:r>
            <w:rPr>
              <w:sz w:val="32"/>
              <w:szCs w:val="32"/>
            </w:rPr>
            <w:fldChar w:fldCharType="end"/>
          </w:r>
        </w:p>
        <w:p>
          <w:pPr>
            <w:pStyle w:val="10"/>
            <w:tabs>
              <w:tab w:val="right" w:leader="dot" w:pos="9072"/>
            </w:tabs>
            <w:rPr>
              <w:sz w:val="32"/>
              <w:szCs w:val="32"/>
            </w:rPr>
          </w:pPr>
          <w:r>
            <w:fldChar w:fldCharType="begin"/>
          </w:r>
          <w:r>
            <w:instrText xml:space="preserve"> HYPERLINK \l "_Toc4737" </w:instrText>
          </w:r>
          <w:r>
            <w:fldChar w:fldCharType="separate"/>
          </w:r>
          <w:r>
            <w:rPr>
              <w:rFonts w:hint="eastAsia" w:ascii="黑体" w:hAnsi="黑体" w:eastAsia="黑体" w:cs="黑体"/>
              <w:kern w:val="44"/>
              <w:sz w:val="32"/>
              <w:szCs w:val="32"/>
            </w:rPr>
            <w:t>八、附件</w:t>
          </w:r>
          <w:r>
            <w:rPr>
              <w:sz w:val="32"/>
              <w:szCs w:val="32"/>
            </w:rPr>
            <w:tab/>
          </w:r>
          <w:r>
            <w:rPr>
              <w:sz w:val="32"/>
              <w:szCs w:val="32"/>
            </w:rPr>
            <w:fldChar w:fldCharType="begin"/>
          </w:r>
          <w:r>
            <w:rPr>
              <w:sz w:val="32"/>
              <w:szCs w:val="32"/>
            </w:rPr>
            <w:instrText xml:space="preserve"> PAGEREF _Toc4737 \h </w:instrText>
          </w:r>
          <w:r>
            <w:rPr>
              <w:sz w:val="32"/>
              <w:szCs w:val="32"/>
            </w:rPr>
            <w:fldChar w:fldCharType="separate"/>
          </w:r>
          <w:r>
            <w:rPr>
              <w:sz w:val="32"/>
              <w:szCs w:val="32"/>
            </w:rPr>
            <w:t>16</w:t>
          </w:r>
          <w:r>
            <w:rPr>
              <w:sz w:val="32"/>
              <w:szCs w:val="32"/>
            </w:rPr>
            <w:fldChar w:fldCharType="end"/>
          </w:r>
          <w:r>
            <w:rPr>
              <w:sz w:val="32"/>
              <w:szCs w:val="32"/>
            </w:rPr>
            <w:fldChar w:fldCharType="end"/>
          </w:r>
        </w:p>
        <w:p>
          <w:pPr>
            <w:pStyle w:val="5"/>
            <w:spacing w:line="360" w:lineRule="auto"/>
            <w:rPr>
              <w:rFonts w:ascii="黑体" w:hAnsi="黑体" w:eastAsia="黑体" w:cs="黑体"/>
              <w:b w:val="0"/>
              <w:bCs/>
              <w:kern w:val="44"/>
              <w:sz w:val="32"/>
              <w:szCs w:val="32"/>
            </w:rPr>
            <w:sectPr>
              <w:headerReference r:id="rId3" w:type="default"/>
              <w:footerReference r:id="rId4" w:type="default"/>
              <w:pgSz w:w="11906" w:h="16838"/>
              <w:pgMar w:top="1417" w:right="1417" w:bottom="1417" w:left="1417" w:header="851" w:footer="992" w:gutter="0"/>
              <w:cols w:space="425" w:num="1"/>
              <w:docGrid w:type="lines" w:linePitch="312" w:charSpace="0"/>
            </w:sectPr>
          </w:pPr>
          <w:r>
            <w:rPr>
              <w:rFonts w:hint="eastAsia" w:ascii="黑体" w:hAnsi="宋体" w:eastAsia="黑体" w:cs="Arial"/>
              <w:bCs/>
              <w:color w:val="000000"/>
              <w:sz w:val="32"/>
              <w:szCs w:val="32"/>
            </w:rPr>
            <w:fldChar w:fldCharType="end"/>
          </w:r>
        </w:p>
      </w:sdtContent>
    </w:sdt>
    <w:p>
      <w:pPr>
        <w:keepNext w:val="0"/>
        <w:keepLines w:val="0"/>
        <w:pageBreakBefore w:val="0"/>
        <w:widowControl w:val="0"/>
        <w:kinsoku/>
        <w:wordWrap/>
        <w:overflowPunct/>
        <w:topLinePunct w:val="0"/>
        <w:autoSpaceDE/>
        <w:autoSpaceDN/>
        <w:bidi w:val="0"/>
        <w:adjustRightInd/>
        <w:snapToGrid/>
        <w:spacing w:before="0" w:after="0" w:line="560" w:lineRule="exact"/>
        <w:ind w:left="0" w:right="0"/>
        <w:jc w:val="center"/>
        <w:textAlignment w:val="auto"/>
        <w:rPr>
          <w:rFonts w:hint="eastAsia" w:ascii="方正小标宋_GBK" w:hAnsi="方正小标宋_GBK" w:eastAsia="方正小标宋_GBK" w:cs="方正小标宋_GBK"/>
          <w:bCs/>
          <w:kern w:val="2"/>
          <w:sz w:val="44"/>
          <w:szCs w:val="44"/>
          <w:highlight w:val="none"/>
          <w:lang w:val="en-US" w:eastAsia="zh-CN" w:bidi="ar-SA"/>
        </w:rPr>
      </w:pPr>
      <w:r>
        <w:rPr>
          <w:rFonts w:hint="eastAsia" w:ascii="方正小标宋_GBK" w:hAnsi="方正小标宋_GBK" w:eastAsia="方正小标宋_GBK" w:cs="方正小标宋_GBK"/>
          <w:bCs/>
          <w:kern w:val="2"/>
          <w:sz w:val="44"/>
          <w:szCs w:val="44"/>
          <w:highlight w:val="none"/>
          <w:lang w:val="en-US" w:eastAsia="zh-CN" w:bidi="ar-SA"/>
        </w:rPr>
        <w:t>市本级公益性公墓建设（城北及城东）</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jc w:val="center"/>
        <w:textAlignment w:val="auto"/>
        <w:rPr>
          <w:rFonts w:hint="eastAsia" w:ascii="方正小标宋_GBK" w:hAnsi="方正小标宋_GBK" w:eastAsia="方正小标宋_GBK" w:cs="方正小标宋_GBK"/>
          <w:bCs/>
          <w:kern w:val="2"/>
          <w:sz w:val="44"/>
          <w:szCs w:val="44"/>
          <w:highlight w:val="none"/>
          <w:lang w:val="en-US" w:eastAsia="zh-CN" w:bidi="ar-SA"/>
        </w:rPr>
      </w:pPr>
      <w:r>
        <w:rPr>
          <w:rFonts w:hint="eastAsia" w:ascii="方正小标宋_GBK" w:hAnsi="方正小标宋_GBK" w:eastAsia="方正小标宋_GBK" w:cs="方正小标宋_GBK"/>
          <w:bCs/>
          <w:kern w:val="2"/>
          <w:sz w:val="44"/>
          <w:szCs w:val="44"/>
          <w:highlight w:val="none"/>
          <w:lang w:val="en-US" w:eastAsia="zh-CN" w:bidi="ar-SA"/>
        </w:rPr>
        <w:t>项目支出绩效评价报告</w:t>
      </w:r>
    </w:p>
    <w:p>
      <w:pPr>
        <w:pStyle w:val="17"/>
        <w:spacing w:line="560" w:lineRule="exact"/>
        <w:rPr>
          <w:rFonts w:ascii="仿宋_GB2312" w:hAnsi="仿宋"/>
          <w:szCs w:val="32"/>
        </w:rPr>
      </w:pPr>
    </w:p>
    <w:p>
      <w:pPr>
        <w:pStyle w:val="17"/>
        <w:spacing w:line="560" w:lineRule="exact"/>
        <w:ind w:firstLine="640"/>
        <w:rPr>
          <w:rFonts w:ascii="黑体" w:hAnsi="黑体" w:eastAsia="黑体"/>
          <w:color w:val="000000"/>
          <w:szCs w:val="32"/>
        </w:rPr>
      </w:pPr>
      <w:r>
        <w:rPr>
          <w:rFonts w:hint="eastAsia" w:ascii="仿宋_GB2312" w:hAnsi="宋体" w:cs="仿宋_GB2312"/>
          <w:szCs w:val="32"/>
        </w:rPr>
        <w:t>为深入贯彻落实《中共中央国务院关于全面实施预算绩效管理的意见》（中发〔2018〕34号）、《财政部关于印发项目支出绩效评价管理办法的通知》（财预〔2020〕10号）、《中共江西省委 江西省人民政府关于全面实施预算绩效管理的实施意见》（赣发〔2019〕8号）等文件精神，切实提高财政资金使用效益和政策实施效果，提升预算绩效管理水平，南昌市民政局根据《南昌市财政局关于开展2025年度全市预算单位自评及部门评价工作的通知》（洪财绩〔2026〕1号）相关要求，对市本级公益性公墓建设（城北及城东）项目（以下简称“该项目”）进行了部门评价。此次部门评价采用定量分析和定性分析相结合的方法，从项目决策、项目过程、项目产出和项目效益四个方面对项目进行了综合评价，现将绩效评价情况报告如下：</w:t>
      </w:r>
    </w:p>
    <w:p>
      <w:pPr>
        <w:spacing w:line="560" w:lineRule="exact"/>
        <w:ind w:firstLine="640" w:firstLineChars="200"/>
        <w:outlineLvl w:val="0"/>
        <w:rPr>
          <w:rFonts w:ascii="黑体" w:hAnsi="黑体" w:eastAsia="黑体"/>
          <w:color w:val="000000"/>
          <w:sz w:val="32"/>
          <w:szCs w:val="32"/>
        </w:rPr>
      </w:pPr>
      <w:bookmarkStart w:id="0" w:name="_Toc1458"/>
      <w:r>
        <w:rPr>
          <w:rFonts w:hint="eastAsia" w:ascii="黑体" w:hAnsi="黑体" w:eastAsia="黑体"/>
          <w:color w:val="000000"/>
          <w:sz w:val="32"/>
          <w:szCs w:val="32"/>
        </w:rPr>
        <w:t>一、基本情况</w:t>
      </w:r>
      <w:bookmarkEnd w:id="0"/>
    </w:p>
    <w:p>
      <w:pPr>
        <w:spacing w:line="560" w:lineRule="exact"/>
        <w:ind w:firstLine="641" w:firstLineChars="200"/>
        <w:outlineLvl w:val="1"/>
        <w:rPr>
          <w:rFonts w:ascii="楷体_GB2312" w:hAnsi="楷体_GB2312" w:eastAsia="楷体_GB2312" w:cs="楷体_GB2312"/>
          <w:b/>
          <w:color w:val="000000"/>
          <w:sz w:val="32"/>
          <w:szCs w:val="32"/>
        </w:rPr>
      </w:pPr>
      <w:bookmarkStart w:id="1" w:name="_Toc28642"/>
      <w:r>
        <w:rPr>
          <w:rFonts w:hint="eastAsia" w:ascii="楷体_GB2312" w:hAnsi="楷体_GB2312" w:eastAsia="楷体_GB2312" w:cs="楷体_GB2312"/>
          <w:b/>
          <w:color w:val="000000"/>
          <w:sz w:val="32"/>
          <w:szCs w:val="32"/>
        </w:rPr>
        <w:t>（一）项目概况</w:t>
      </w:r>
      <w:bookmarkEnd w:id="1"/>
    </w:p>
    <w:p>
      <w:pPr>
        <w:pStyle w:val="5"/>
        <w:spacing w:line="560" w:lineRule="exact"/>
        <w:ind w:firstLine="640"/>
        <w:rPr>
          <w:rFonts w:ascii="仿宋" w:hAnsi="仿宋" w:eastAsia="仿宋" w:cs="仿宋"/>
          <w:bCs/>
          <w:sz w:val="32"/>
          <w:szCs w:val="32"/>
        </w:rPr>
      </w:pPr>
      <w:r>
        <w:rPr>
          <w:rFonts w:hint="eastAsia" w:ascii="仿宋" w:hAnsi="仿宋" w:eastAsia="仿宋" w:cs="仿宋"/>
          <w:bCs/>
          <w:sz w:val="32"/>
          <w:szCs w:val="32"/>
        </w:rPr>
        <w:t>1.项目背景</w:t>
      </w:r>
    </w:p>
    <w:p>
      <w:pPr>
        <w:spacing w:line="56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近年来，随着经济、文化水平的不断提高，人们对生活质量的要求也上升到了一个新的高度。人们不再仅仅关注生前的生活，也开始将眼光投向了对身后的打算。同时，传统文化的逐渐复兴，也重新焕发了人们对忠孝礼义的认识， 加之人口老龄化的趋势愈加明显，这些因素都为生命行业的崛起提供了先决条件，而公墓产业，则是其中最为人关注的一项。</w:t>
      </w:r>
    </w:p>
    <w:p>
      <w:pPr>
        <w:spacing w:line="56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虽然南昌有着深厚的历史文化底蕴，但其殡葬文化却一直未能实现与现代文明的交织共融。目前南昌地区现有的殡葬产业虽然规模日渐扩大，但园区建设大都较为传统，虽然逐渐出现了一批以公园化为建设宗旨的现代墓园，但总体殡葬环境依然无法满足居民对陵园物质和文化品质的双重追求，特别是在产品节地化、生态化、可持续化的设计上，仍然有着诸多不足。人们正急需建设完备、服务优秀、充满人文气息，且具备节地生态、可持续发展的，符合绿色殡葬改革方向的新型陵园来满足他们的消费需要，更是弥补他们的一种人生遗憾。</w:t>
      </w:r>
    </w:p>
    <w:p>
      <w:pPr>
        <w:pStyle w:val="5"/>
        <w:spacing w:line="560" w:lineRule="exact"/>
        <w:ind w:firstLine="640"/>
        <w:rPr>
          <w:rFonts w:ascii="仿宋_GB2312" w:hAnsi="宋体" w:eastAsia="仿宋_GB2312" w:cs="仿宋_GB2312"/>
          <w:bCs/>
          <w:kern w:val="0"/>
          <w:sz w:val="32"/>
          <w:szCs w:val="32"/>
        </w:rPr>
      </w:pPr>
      <w:r>
        <w:rPr>
          <w:rFonts w:hint="eastAsia" w:ascii="仿宋_GB2312" w:hAnsi="宋体" w:eastAsia="仿宋_GB2312" w:cs="仿宋_GB2312"/>
          <w:bCs/>
          <w:kern w:val="0"/>
          <w:sz w:val="32"/>
          <w:szCs w:val="32"/>
        </w:rPr>
        <w:t>2.项目主要内容及实施情况</w:t>
      </w:r>
    </w:p>
    <w:p>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（1）项目主要内容</w:t>
      </w:r>
    </w:p>
    <w:p>
      <w:pPr>
        <w:spacing w:line="560" w:lineRule="exact"/>
        <w:ind w:firstLine="640" w:firstLineChars="200"/>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rPr>
        <w:t>该项目主要实施内容为：一是支付城东城北190085.74平方米土地划拨款，</w:t>
      </w:r>
      <w:r>
        <w:rPr>
          <w:rFonts w:hint="default" w:ascii="仿宋_GB2312" w:hAnsi="宋体" w:eastAsia="仿宋_GB2312" w:cs="仿宋_GB2312"/>
          <w:kern w:val="0"/>
          <w:sz w:val="32"/>
          <w:szCs w:val="32"/>
          <w:highlight w:val="none"/>
          <w:woUserID w:val="2"/>
        </w:rPr>
        <w:t>取得土地证</w:t>
      </w:r>
      <w:r>
        <w:rPr>
          <w:rFonts w:hint="eastAsia" w:ascii="仿宋_GB2312" w:hAnsi="宋体" w:eastAsia="仿宋_GB2312" w:cs="仿宋_GB2312"/>
          <w:kern w:val="0"/>
          <w:sz w:val="32"/>
          <w:szCs w:val="32"/>
          <w:highlight w:val="none"/>
        </w:rPr>
        <w:t>。二是</w:t>
      </w:r>
      <w:r>
        <w:rPr>
          <w:rFonts w:hint="default" w:ascii="仿宋_GB2312" w:hAnsi="宋体" w:eastAsia="仿宋_GB2312" w:cs="仿宋_GB2312"/>
          <w:kern w:val="0"/>
          <w:sz w:val="32"/>
          <w:szCs w:val="32"/>
          <w:highlight w:val="none"/>
          <w:woUserID w:val="2"/>
        </w:rPr>
        <w:t>完成</w:t>
      </w:r>
      <w:r>
        <w:rPr>
          <w:rFonts w:hint="eastAsia" w:ascii="仿宋_GB2312" w:hAnsi="宋体" w:eastAsia="仿宋_GB2312" w:cs="仿宋_GB2312"/>
          <w:kern w:val="0"/>
          <w:sz w:val="32"/>
          <w:szCs w:val="32"/>
          <w:highlight w:val="none"/>
        </w:rPr>
        <w:t>城东城北公益性公墓建设。</w:t>
      </w:r>
    </w:p>
    <w:p>
      <w:pPr>
        <w:spacing w:line="560" w:lineRule="exact"/>
        <w:ind w:firstLine="640" w:firstLineChars="200"/>
        <w:rPr>
          <w:rFonts w:ascii="仿宋_GB2312" w:hAnsi="宋体" w:eastAsia="仿宋_GB2312" w:cs="仿宋_GB2312"/>
          <w:sz w:val="32"/>
          <w:szCs w:val="32"/>
          <w:highlight w:val="none"/>
        </w:rPr>
      </w:pPr>
      <w:r>
        <w:rPr>
          <w:rFonts w:hint="eastAsia" w:ascii="仿宋_GB2312" w:hAnsi="宋体" w:eastAsia="仿宋_GB2312" w:cs="仿宋_GB2312"/>
          <w:sz w:val="32"/>
          <w:szCs w:val="32"/>
          <w:highlight w:val="none"/>
        </w:rPr>
        <w:t>（2）项目实施情况</w:t>
      </w:r>
    </w:p>
    <w:p>
      <w:pPr>
        <w:spacing w:line="560" w:lineRule="exact"/>
        <w:ind w:firstLine="640" w:firstLineChars="200"/>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rPr>
        <w:t>南昌市殡仪服务中心</w:t>
      </w:r>
      <w:r>
        <w:rPr>
          <w:rFonts w:hint="default" w:ascii="仿宋_GB2312" w:hAnsi="宋体" w:eastAsia="仿宋_GB2312" w:cs="仿宋_GB2312"/>
          <w:kern w:val="0"/>
          <w:sz w:val="32"/>
          <w:szCs w:val="32"/>
          <w:highlight w:val="none"/>
          <w:woUserID w:val="2"/>
        </w:rPr>
        <w:t>于2023年支付了土地划拨款并取得了安义县66738.4平方米和进贤县123347.34平方米的土地证；</w:t>
      </w:r>
      <w:r>
        <w:rPr>
          <w:rFonts w:hint="eastAsia" w:ascii="仿宋_GB2312" w:hAnsi="宋体" w:eastAsia="仿宋_GB2312" w:cs="仿宋_GB2312"/>
          <w:kern w:val="0"/>
          <w:sz w:val="32"/>
          <w:szCs w:val="32"/>
          <w:highlight w:val="none"/>
        </w:rPr>
        <w:t>完成</w:t>
      </w:r>
      <w:r>
        <w:rPr>
          <w:rFonts w:hint="default" w:ascii="仿宋_GB2312" w:hAnsi="宋体" w:eastAsia="仿宋_GB2312" w:cs="仿宋_GB2312"/>
          <w:kern w:val="0"/>
          <w:sz w:val="32"/>
          <w:szCs w:val="32"/>
          <w:highlight w:val="none"/>
          <w:woUserID w:val="2"/>
        </w:rPr>
        <w:t>了</w:t>
      </w:r>
      <w:r>
        <w:rPr>
          <w:rFonts w:hint="eastAsia" w:ascii="仿宋_GB2312" w:hAnsi="宋体" w:eastAsia="仿宋_GB2312" w:cs="仿宋_GB2312"/>
          <w:kern w:val="0"/>
          <w:sz w:val="32"/>
          <w:szCs w:val="32"/>
          <w:highlight w:val="none"/>
        </w:rPr>
        <w:t>城东城北公益性公墓建设。</w:t>
      </w:r>
    </w:p>
    <w:p>
      <w:pPr>
        <w:pStyle w:val="5"/>
        <w:spacing w:line="560" w:lineRule="exact"/>
        <w:ind w:firstLine="640"/>
        <w:rPr>
          <w:rFonts w:ascii="仿宋_GB2312" w:hAnsi="宋体" w:eastAsia="仿宋_GB2312" w:cs="仿宋_GB2312"/>
          <w:b w:val="0"/>
          <w:kern w:val="0"/>
          <w:sz w:val="32"/>
          <w:szCs w:val="32"/>
        </w:rPr>
      </w:pPr>
      <w:r>
        <w:rPr>
          <w:rFonts w:hint="eastAsia" w:ascii="仿宋_GB2312" w:hAnsi="宋体" w:eastAsia="仿宋_GB2312" w:cs="仿宋_GB2312"/>
          <w:b w:val="0"/>
          <w:kern w:val="0"/>
          <w:sz w:val="32"/>
          <w:szCs w:val="32"/>
        </w:rPr>
        <w:t>3.资金投入和使用情况</w:t>
      </w:r>
    </w:p>
    <w:p>
      <w:pPr>
        <w:autoSpaceDE w:val="0"/>
        <w:autoSpaceDN w:val="0"/>
        <w:adjustRightInd w:val="0"/>
        <w:spacing w:line="560" w:lineRule="exact"/>
        <w:ind w:firstLine="640" w:firstLineChars="200"/>
        <w:jc w:val="lef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根据《南昌市人民政府办公室关于同意2025年度市级福利彩票公益金收支计划的复函》（洪府办字〔2025〕443号）安排1700.00万元用于该项目；根据《南昌市人民政府办公室关于拨付市本级公益性公墓（城北及城东）项目建设资金的复函》（洪府办字〔2025〕60号）安排1000.00万元用于该项目。截止至2025年12月31日，该项目预算安排资金为2700.00万元，2025年市财政局实际下拨资金为2524.81万元，实际支出资金为2524.81万元，资金使用率为100.00%。</w:t>
      </w:r>
    </w:p>
    <w:p>
      <w:pPr>
        <w:spacing w:line="560" w:lineRule="exact"/>
        <w:ind w:firstLine="641" w:firstLineChars="200"/>
        <w:outlineLvl w:val="1"/>
        <w:rPr>
          <w:rFonts w:ascii="楷体_GB2312" w:hAnsi="楷体_GB2312" w:eastAsia="楷体_GB2312" w:cs="楷体_GB2312"/>
          <w:b/>
          <w:color w:val="000000"/>
          <w:sz w:val="32"/>
          <w:szCs w:val="32"/>
        </w:rPr>
      </w:pPr>
      <w:bookmarkStart w:id="2" w:name="_Toc13976"/>
      <w:r>
        <w:rPr>
          <w:rFonts w:hint="eastAsia" w:ascii="楷体_GB2312" w:hAnsi="楷体_GB2312" w:eastAsia="楷体_GB2312" w:cs="楷体_GB2312"/>
          <w:b/>
          <w:color w:val="000000"/>
          <w:sz w:val="32"/>
          <w:szCs w:val="32"/>
        </w:rPr>
        <w:t>（二）项目绩效目标</w:t>
      </w:r>
      <w:bookmarkEnd w:id="2"/>
    </w:p>
    <w:p>
      <w:pPr>
        <w:pStyle w:val="5"/>
        <w:spacing w:line="560" w:lineRule="exact"/>
        <w:ind w:firstLine="640"/>
        <w:rPr>
          <w:rFonts w:ascii="仿宋" w:hAnsi="仿宋" w:eastAsia="仿宋" w:cs="仿宋"/>
          <w:bCs/>
          <w:sz w:val="32"/>
          <w:szCs w:val="32"/>
        </w:rPr>
      </w:pPr>
      <w:r>
        <w:rPr>
          <w:rFonts w:hint="eastAsia" w:ascii="仿宋" w:hAnsi="仿宋" w:eastAsia="仿宋" w:cs="仿宋"/>
          <w:bCs/>
          <w:sz w:val="32"/>
          <w:szCs w:val="32"/>
        </w:rPr>
        <w:t>1.总体目标</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highlight w:val="none"/>
        </w:rPr>
        <w:t>为南昌市打造规范化、人文化、生态化的现代生态墓园，</w:t>
      </w:r>
      <w:r>
        <w:rPr>
          <w:rFonts w:hint="eastAsia" w:ascii="仿宋_GB2312" w:hAnsi="宋体" w:eastAsia="仿宋_GB2312" w:cs="仿宋_GB2312"/>
          <w:b w:val="0"/>
          <w:sz w:val="32"/>
          <w:szCs w:val="32"/>
          <w:highlight w:val="none"/>
          <w:lang w:eastAsia="zh-CN"/>
        </w:rPr>
        <w:t>着力</w:t>
      </w:r>
      <w:r>
        <w:rPr>
          <w:rFonts w:hint="eastAsia" w:ascii="仿宋_GB2312" w:hAnsi="宋体" w:eastAsia="仿宋_GB2312" w:cs="仿宋_GB2312"/>
          <w:b w:val="0"/>
          <w:sz w:val="32"/>
          <w:szCs w:val="32"/>
          <w:highlight w:val="none"/>
        </w:rPr>
        <w:t>解决“安放挚爱”的民生问题，更进一步以生命文化为基础，使之成为“礼赞生命”的纪念公园。为家族情感交流提供一个最佳的沟通场所，并通过挖掘新的地方文化价值，形成当地</w:t>
      </w:r>
      <w:r>
        <w:rPr>
          <w:rFonts w:hint="eastAsia" w:ascii="仿宋_GB2312" w:hAnsi="宋体" w:eastAsia="仿宋_GB2312" w:cs="仿宋_GB2312"/>
          <w:b w:val="0"/>
          <w:sz w:val="32"/>
          <w:szCs w:val="32"/>
        </w:rPr>
        <w:t>人民对城市共同的自豪感。同时，还将创建更多新的就业机会，在促进经济发展的同时，增强城市向心力， 推动社会和谐稳定发展。</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2.阶段性目标</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（1）单墓穴数量：1100套；</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（2）双墓穴数量：1800套；</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（3）绿化种植土体积：50000立方米；</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（4）绿化草皮面积：80000</w:t>
      </w:r>
      <w:r>
        <w:rPr>
          <w:rFonts w:hint="eastAsia" w:ascii="仿宋_GB2312" w:hAnsi="宋体" w:eastAsia="仿宋_GB2312" w:cs="仿宋_GB2312"/>
          <w:b w:val="0"/>
          <w:sz w:val="32"/>
          <w:szCs w:val="32"/>
          <w:lang w:eastAsia="zh-CN"/>
        </w:rPr>
        <w:t>平</w:t>
      </w:r>
      <w:r>
        <w:rPr>
          <w:rFonts w:hint="eastAsia" w:ascii="仿宋_GB2312" w:hAnsi="宋体" w:eastAsia="仿宋_GB2312" w:cs="仿宋_GB2312"/>
          <w:b w:val="0"/>
          <w:sz w:val="32"/>
          <w:szCs w:val="32"/>
          <w:highlight w:val="none"/>
          <w:lang w:eastAsia="zh-CN"/>
        </w:rPr>
        <w:t>方</w:t>
      </w:r>
      <w:r>
        <w:rPr>
          <w:rFonts w:hint="eastAsia" w:ascii="仿宋_GB2312" w:hAnsi="宋体" w:eastAsia="仿宋_GB2312" w:cs="仿宋_GB2312"/>
          <w:b w:val="0"/>
          <w:sz w:val="32"/>
          <w:szCs w:val="32"/>
          <w:highlight w:val="none"/>
        </w:rPr>
        <w:t>米；</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（5）透水混凝土体积：55000立方米；</w:t>
      </w:r>
    </w:p>
    <w:p>
      <w:pPr>
        <w:pStyle w:val="5"/>
        <w:spacing w:line="560" w:lineRule="exact"/>
        <w:ind w:firstLine="640" w:firstLineChars="200"/>
        <w:rPr>
          <w:rFonts w:ascii="仿宋_GB2312" w:hAnsi="宋体" w:eastAsia="仿宋_GB2312" w:cs="仿宋_GB2312"/>
          <w:b w:val="0"/>
          <w:sz w:val="32"/>
          <w:szCs w:val="32"/>
        </w:rPr>
      </w:pPr>
      <w:bookmarkStart w:id="3" w:name="_Toc5206"/>
      <w:r>
        <w:rPr>
          <w:rFonts w:hint="eastAsia" w:ascii="仿宋_GB2312" w:hAnsi="宋体" w:eastAsia="仿宋_GB2312" w:cs="仿宋_GB2312"/>
          <w:b w:val="0"/>
          <w:sz w:val="32"/>
          <w:szCs w:val="32"/>
        </w:rPr>
        <w:t>（6）建造停车位面积：1000平方米；</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（7）种植树木：1000棵；</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（8）新建双墓穴：3000个；</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（9）新建排水沟长度：4000米；</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（10）摊铺道路沥青面积：24000平方米；</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（11）新建围墙长度：550米；</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（12）新建民族墓穴：450个；</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（13）铺装人行道面积：484平方米；</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（14）新建壁葬：600个。</w:t>
      </w:r>
    </w:p>
    <w:p>
      <w:pPr>
        <w:spacing w:line="560" w:lineRule="exact"/>
        <w:ind w:firstLine="640" w:firstLineChars="200"/>
        <w:outlineLvl w:val="0"/>
        <w:rPr>
          <w:rFonts w:ascii="黑体" w:hAnsi="黑体" w:eastAsia="黑体"/>
          <w:color w:val="000000"/>
          <w:sz w:val="32"/>
          <w:szCs w:val="32"/>
        </w:rPr>
      </w:pPr>
      <w:r>
        <w:rPr>
          <w:rFonts w:hint="eastAsia" w:ascii="黑体" w:hAnsi="黑体" w:eastAsia="黑体"/>
          <w:color w:val="000000"/>
          <w:sz w:val="32"/>
          <w:szCs w:val="32"/>
        </w:rPr>
        <w:t>二、绩效评价工作开展情况</w:t>
      </w:r>
      <w:bookmarkEnd w:id="3"/>
    </w:p>
    <w:p>
      <w:pPr>
        <w:spacing w:line="560" w:lineRule="exact"/>
        <w:ind w:firstLine="641" w:firstLineChars="200"/>
        <w:outlineLvl w:val="1"/>
        <w:rPr>
          <w:rFonts w:ascii="楷体_GB2312" w:hAnsi="楷体_GB2312" w:eastAsia="楷体_GB2312" w:cs="楷体_GB2312"/>
          <w:b/>
          <w:color w:val="000000"/>
          <w:sz w:val="32"/>
          <w:szCs w:val="32"/>
        </w:rPr>
      </w:pPr>
      <w:bookmarkStart w:id="4" w:name="_Toc24679"/>
      <w:r>
        <w:rPr>
          <w:rFonts w:hint="eastAsia" w:ascii="楷体_GB2312" w:hAnsi="楷体_GB2312" w:eastAsia="楷体_GB2312" w:cs="楷体_GB2312"/>
          <w:b/>
          <w:color w:val="000000"/>
          <w:sz w:val="32"/>
          <w:szCs w:val="32"/>
        </w:rPr>
        <w:t>（一）绩效评价目的、对象和范围</w:t>
      </w:r>
      <w:bookmarkEnd w:id="4"/>
    </w:p>
    <w:p>
      <w:pPr>
        <w:spacing w:line="560" w:lineRule="exact"/>
        <w:ind w:firstLine="641" w:firstLineChars="200"/>
        <w:rPr>
          <w:rFonts w:ascii="仿宋_GB2312" w:hAnsi="宋体" w:eastAsia="仿宋_GB2312" w:cs="仿宋_GB2312"/>
          <w:b/>
          <w:bCs/>
          <w:sz w:val="32"/>
          <w:szCs w:val="32"/>
        </w:rPr>
      </w:pPr>
      <w:bookmarkStart w:id="5" w:name="_Toc28049"/>
      <w:bookmarkStart w:id="6" w:name="_Toc32155"/>
      <w:bookmarkStart w:id="7" w:name="_Toc29148"/>
      <w:bookmarkStart w:id="8" w:name="_Toc13987"/>
      <w:bookmarkStart w:id="9" w:name="_Toc17404"/>
      <w:r>
        <w:rPr>
          <w:rFonts w:hint="eastAsia" w:ascii="仿宋_GB2312" w:hAnsi="宋体" w:eastAsia="仿宋_GB2312" w:cs="仿宋_GB2312"/>
          <w:b/>
          <w:bCs/>
          <w:sz w:val="32"/>
          <w:szCs w:val="32"/>
        </w:rPr>
        <w:t>1.评价目的</w:t>
      </w:r>
      <w:bookmarkEnd w:id="5"/>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宋体" w:eastAsia="仿宋_GB2312" w:cs="仿宋_GB2312"/>
          <w:sz w:val="32"/>
          <w:szCs w:val="32"/>
        </w:rPr>
      </w:pPr>
      <w:r>
        <w:rPr>
          <w:rFonts w:hint="eastAsia" w:ascii="仿宋_GB2312" w:hAnsi="宋体" w:eastAsia="仿宋_GB2312" w:cs="仿宋_GB2312"/>
          <w:sz w:val="32"/>
          <w:szCs w:val="32"/>
        </w:rPr>
        <w:t>财政支出项目绩效评价旨在通过评价改善财政资金支出管理，优化资源配置及提高公共服务水平。本次评价的主要目的是：围绕项目决策、项目过程、项目产出及项目效益四个方面开展绩效评价工作，综合反映项目支出成效，梳理项目存在的问题并提出建议，为主管部门今后的同类型项目积累经验，同时，强化项目单位预算绩效管理</w:t>
      </w:r>
      <w:r>
        <w:rPr>
          <w:rFonts w:hint="eastAsia" w:ascii="仿宋_GB2312" w:hAnsi="宋体" w:eastAsia="仿宋_GB2312" w:cs="仿宋_GB2312"/>
          <w:sz w:val="32"/>
          <w:szCs w:val="32"/>
          <w:lang w:val="en-US" w:eastAsia="zh-CN"/>
        </w:rPr>
        <w:t>理</w:t>
      </w:r>
      <w:r>
        <w:rPr>
          <w:rFonts w:hint="eastAsia" w:ascii="仿宋_GB2312" w:hAnsi="宋体" w:eastAsia="仿宋_GB2312" w:cs="仿宋_GB2312"/>
          <w:sz w:val="32"/>
          <w:szCs w:val="32"/>
        </w:rPr>
        <w:t>念，提高财政资金的使用效率。</w:t>
      </w:r>
    </w:p>
    <w:p>
      <w:pPr>
        <w:spacing w:line="560" w:lineRule="exact"/>
        <w:ind w:firstLine="320" w:firstLineChars="100"/>
        <w:rPr>
          <w:rFonts w:ascii="仿宋_GB2312" w:hAnsi="宋体" w:eastAsia="仿宋_GB2312" w:cs="仿宋_GB2312"/>
          <w:sz w:val="32"/>
          <w:szCs w:val="32"/>
        </w:rPr>
      </w:pPr>
      <w:r>
        <w:rPr>
          <w:rFonts w:hint="eastAsia" w:ascii="仿宋_GB2312" w:hAnsi="宋体" w:eastAsia="仿宋_GB2312" w:cs="仿宋_GB2312"/>
          <w:sz w:val="32"/>
          <w:szCs w:val="32"/>
        </w:rPr>
        <w:t xml:space="preserve"> </w:t>
      </w:r>
      <w:r>
        <w:rPr>
          <w:rFonts w:hint="eastAsia" w:ascii="仿宋_GB2312" w:hAnsi="宋体" w:eastAsia="仿宋_GB2312" w:cs="仿宋_GB2312"/>
          <w:b/>
          <w:bCs/>
          <w:sz w:val="32"/>
          <w:szCs w:val="32"/>
        </w:rPr>
        <w:t>2.评价对象和范围</w:t>
      </w:r>
    </w:p>
    <w:p>
      <w:pPr>
        <w:pStyle w:val="5"/>
        <w:spacing w:line="560" w:lineRule="exact"/>
        <w:rPr>
          <w:rFonts w:ascii="仿宋_GB2312" w:hAnsi="宋体" w:eastAsia="仿宋_GB2312" w:cs="仿宋_GB2312"/>
          <w:b w:val="0"/>
          <w:sz w:val="32"/>
          <w:szCs w:val="32"/>
        </w:rPr>
      </w:pPr>
      <w:r>
        <w:rPr>
          <w:rFonts w:hint="eastAsia"/>
        </w:rPr>
        <w:t xml:space="preserve">     </w:t>
      </w:r>
      <w:r>
        <w:rPr>
          <w:rFonts w:hint="eastAsia" w:ascii="仿宋_GB2312" w:hAnsi="宋体" w:eastAsia="仿宋_GB2312" w:cs="仿宋_GB2312"/>
          <w:b w:val="0"/>
          <w:sz w:val="32"/>
          <w:szCs w:val="32"/>
        </w:rPr>
        <w:t>本次绩效评价对象为市本级公益性公墓建设（城北及城东）项目，评价范围是该项目2025年度市财政预算资金2524.81万元。</w:t>
      </w:r>
    </w:p>
    <w:p>
      <w:pPr>
        <w:spacing w:line="560" w:lineRule="exact"/>
        <w:ind w:firstLine="641" w:firstLineChars="200"/>
        <w:outlineLvl w:val="1"/>
        <w:rPr>
          <w:rFonts w:ascii="楷体_GB2312" w:hAnsi="楷体_GB2312" w:eastAsia="楷体_GB2312" w:cs="楷体_GB2312"/>
          <w:b/>
          <w:color w:val="000000"/>
          <w:sz w:val="32"/>
          <w:szCs w:val="32"/>
        </w:rPr>
      </w:pPr>
      <w:bookmarkStart w:id="10" w:name="_Toc7047"/>
      <w:r>
        <w:rPr>
          <w:rFonts w:hint="eastAsia" w:ascii="楷体_GB2312" w:hAnsi="楷体_GB2312" w:eastAsia="楷体_GB2312" w:cs="楷体_GB2312"/>
          <w:b/>
          <w:color w:val="000000"/>
          <w:sz w:val="32"/>
          <w:szCs w:val="32"/>
        </w:rPr>
        <w:t>（二）绩效评价原则、评价指标体系（附表说明）、评价方法、评价标准等</w:t>
      </w:r>
      <w:bookmarkEnd w:id="10"/>
    </w:p>
    <w:p>
      <w:pPr>
        <w:spacing w:line="560" w:lineRule="exact"/>
        <w:ind w:firstLine="641" w:firstLineChars="200"/>
        <w:rPr>
          <w:rFonts w:ascii="仿宋_GB2312" w:hAnsi="宋体" w:eastAsia="仿宋_GB2312" w:cs="仿宋_GB2312"/>
          <w:b/>
          <w:bCs/>
          <w:sz w:val="32"/>
          <w:szCs w:val="32"/>
        </w:rPr>
      </w:pPr>
      <w:r>
        <w:rPr>
          <w:rFonts w:hint="eastAsia" w:ascii="仿宋_GB2312" w:hAnsi="宋体" w:eastAsia="仿宋_GB2312" w:cs="仿宋_GB2312"/>
          <w:b/>
          <w:bCs/>
          <w:sz w:val="32"/>
          <w:szCs w:val="32"/>
        </w:rPr>
        <w:t>1.绩效评价的原则</w:t>
      </w:r>
    </w:p>
    <w:p>
      <w:pPr>
        <w:spacing w:line="560" w:lineRule="exact"/>
        <w:ind w:firstLine="640" w:firstLineChars="200"/>
        <w:rPr>
          <w:rFonts w:ascii="仿宋_GB2312" w:hAnsi="宋体" w:eastAsia="仿宋_GB2312" w:cs="仿宋_GB2312"/>
          <w:sz w:val="32"/>
          <w:szCs w:val="32"/>
        </w:rPr>
      </w:pPr>
      <w:bookmarkStart w:id="11" w:name="_Toc14312"/>
      <w:bookmarkStart w:id="12" w:name="_Toc13333"/>
      <w:bookmarkStart w:id="13" w:name="_Toc11042"/>
      <w:bookmarkStart w:id="14" w:name="_Toc18956"/>
      <w:bookmarkStart w:id="15" w:name="_Toc7843"/>
      <w:r>
        <w:rPr>
          <w:rFonts w:hint="eastAsia" w:ascii="仿宋_GB2312" w:hAnsi="宋体" w:eastAsia="仿宋_GB2312" w:cs="仿宋_GB2312"/>
          <w:sz w:val="32"/>
          <w:szCs w:val="32"/>
        </w:rPr>
        <w:t>（1）科学规范原则。本次绩效评价工作按照科学可行的原则，采取定量分析与定性分析相结合的评价方法，评价机构设计绩效评价工作方案并组织实施绩效评价。</w:t>
      </w:r>
      <w:bookmarkEnd w:id="11"/>
      <w:bookmarkEnd w:id="12"/>
      <w:bookmarkEnd w:id="13"/>
      <w:bookmarkEnd w:id="14"/>
      <w:bookmarkEnd w:id="15"/>
    </w:p>
    <w:p>
      <w:pPr>
        <w:spacing w:line="560" w:lineRule="exact"/>
        <w:ind w:firstLine="640" w:firstLineChars="200"/>
        <w:rPr>
          <w:rFonts w:ascii="仿宋_GB2312" w:hAnsi="宋体" w:eastAsia="仿宋_GB2312" w:cs="仿宋_GB2312"/>
          <w:sz w:val="32"/>
          <w:szCs w:val="32"/>
        </w:rPr>
      </w:pPr>
      <w:bookmarkStart w:id="16" w:name="_Toc10292"/>
      <w:bookmarkStart w:id="17" w:name="_Toc32211"/>
      <w:bookmarkStart w:id="18" w:name="_Toc8941"/>
      <w:bookmarkStart w:id="19" w:name="_Toc26396"/>
      <w:bookmarkStart w:id="20" w:name="_Toc1249"/>
      <w:r>
        <w:rPr>
          <w:rFonts w:hint="eastAsia" w:ascii="仿宋_GB2312" w:hAnsi="宋体" w:eastAsia="仿宋_GB2312" w:cs="仿宋_GB2312"/>
          <w:sz w:val="32"/>
          <w:szCs w:val="32"/>
        </w:rPr>
        <w:t>（2）独立公正原则。</w:t>
      </w:r>
      <w:bookmarkEnd w:id="16"/>
      <w:bookmarkEnd w:id="17"/>
      <w:bookmarkEnd w:id="18"/>
      <w:bookmarkEnd w:id="19"/>
      <w:bookmarkEnd w:id="20"/>
      <w:r>
        <w:rPr>
          <w:rFonts w:hint="eastAsia" w:ascii="仿宋_GB2312" w:hAnsi="宋体" w:eastAsia="仿宋_GB2312" w:cs="仿宋_GB2312"/>
          <w:sz w:val="32"/>
          <w:szCs w:val="32"/>
        </w:rPr>
        <w:t>绩效工作小组以真实、客观、公正的要求完成本次绩效评价工作，并接受相关部门监督。</w:t>
      </w:r>
    </w:p>
    <w:p>
      <w:pPr>
        <w:spacing w:line="560" w:lineRule="exact"/>
        <w:ind w:firstLine="640" w:firstLineChars="200"/>
        <w:rPr>
          <w:rFonts w:ascii="仿宋_GB2312" w:hAnsi="宋体" w:eastAsia="仿宋_GB2312" w:cs="仿宋_GB2312"/>
          <w:sz w:val="32"/>
          <w:szCs w:val="32"/>
        </w:rPr>
      </w:pPr>
      <w:bookmarkStart w:id="21" w:name="_Toc3240"/>
      <w:bookmarkStart w:id="22" w:name="_Toc7381"/>
      <w:bookmarkStart w:id="23" w:name="_Toc27162"/>
      <w:bookmarkStart w:id="24" w:name="_Toc26265"/>
      <w:bookmarkStart w:id="25" w:name="_Toc29968"/>
      <w:r>
        <w:rPr>
          <w:rFonts w:hint="eastAsia" w:ascii="仿宋_GB2312" w:hAnsi="宋体" w:eastAsia="仿宋_GB2312" w:cs="仿宋_GB2312"/>
          <w:sz w:val="32"/>
          <w:szCs w:val="32"/>
        </w:rPr>
        <w:t>（3）绩效相关原则。本次绩效评价工作重点对该项目财政支出及其产出绩效进行评价，评价结果反映项目支出与产出绩效之间的紧密对应关系。在以评“绩效”为主的情况下，适当延伸至项目的决策与过程管理。</w:t>
      </w:r>
      <w:bookmarkEnd w:id="21"/>
      <w:bookmarkEnd w:id="22"/>
      <w:bookmarkEnd w:id="23"/>
      <w:bookmarkEnd w:id="24"/>
      <w:bookmarkEnd w:id="25"/>
    </w:p>
    <w:p>
      <w:pPr>
        <w:spacing w:line="560" w:lineRule="exact"/>
        <w:ind w:firstLine="641" w:firstLineChars="200"/>
        <w:rPr>
          <w:rFonts w:ascii="仿宋_GB2312" w:hAnsi="宋体" w:eastAsia="仿宋_GB2312" w:cs="仿宋_GB2312"/>
          <w:b/>
          <w:bCs/>
          <w:sz w:val="32"/>
          <w:szCs w:val="32"/>
        </w:rPr>
      </w:pPr>
      <w:r>
        <w:rPr>
          <w:rFonts w:hint="eastAsia" w:ascii="仿宋_GB2312" w:hAnsi="宋体" w:eastAsia="仿宋_GB2312" w:cs="仿宋_GB2312"/>
          <w:b/>
          <w:bCs/>
          <w:sz w:val="32"/>
          <w:szCs w:val="32"/>
        </w:rPr>
        <w:t>2.评价指标体系</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评价指标体系根据绩效评价的基本原理、原则和项目特点，结合《南昌市财政局关于开展2025年度全市预算单位自评及部门评价工作的通知》（洪财绩〔2026〕1号）有关要求设置，包括决策、过程、产出及效益等内容，项目评价指标体系详见（附件</w:t>
      </w:r>
      <w:r>
        <w:rPr>
          <w:rFonts w:hint="default" w:ascii="仿宋_GB2312" w:hAnsi="宋体" w:eastAsia="仿宋_GB2312" w:cs="仿宋_GB2312"/>
          <w:b w:val="0"/>
          <w:sz w:val="32"/>
          <w:szCs w:val="32"/>
          <w:woUserID w:val="1"/>
        </w:rPr>
        <w:t>1</w:t>
      </w:r>
      <w:r>
        <w:rPr>
          <w:rFonts w:hint="eastAsia" w:ascii="仿宋_GB2312" w:hAnsi="宋体" w:eastAsia="仿宋_GB2312" w:cs="仿宋_GB2312"/>
          <w:b w:val="0"/>
          <w:sz w:val="32"/>
          <w:szCs w:val="32"/>
        </w:rPr>
        <w:t>）。</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3.评价方法</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本次评价将通过文件资料研读、现场调研等方法对项目进行定性评价;通过基础数据统计分析等方法，对项目进行定量评价。在定性评价中，也须明确支撑评价结果的证明材料，尽量减少定性评价带有的主观随意性。</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4.</w:t>
      </w:r>
      <w:r>
        <w:rPr>
          <w:rFonts w:ascii="仿宋_GB2312" w:hAnsi="宋体" w:eastAsia="仿宋_GB2312" w:cs="仿宋_GB2312"/>
          <w:bCs/>
          <w:sz w:val="32"/>
          <w:szCs w:val="32"/>
        </w:rPr>
        <w:t>评价标准</w:t>
      </w:r>
    </w:p>
    <w:p>
      <w:pPr>
        <w:pStyle w:val="5"/>
        <w:spacing w:line="560" w:lineRule="exact"/>
        <w:ind w:firstLine="640" w:firstLineChars="200"/>
        <w:rPr>
          <w:rFonts w:ascii="仿宋_GB2312" w:hAnsi="宋体" w:eastAsia="仿宋_GB2312" w:cs="仿宋_GB2312"/>
          <w:b w:val="0"/>
          <w:sz w:val="32"/>
          <w:szCs w:val="32"/>
        </w:rPr>
      </w:pPr>
      <w:r>
        <w:rPr>
          <w:rFonts w:ascii="仿宋_GB2312" w:hAnsi="宋体" w:eastAsia="仿宋_GB2312" w:cs="仿宋_GB2312"/>
          <w:b w:val="0"/>
          <w:sz w:val="32"/>
          <w:szCs w:val="32"/>
        </w:rPr>
        <w:t>绩效评价标准是指衡量财政支出绩效目标完成程度的尺度，通常包括计划标准、行业标准、历史标准等，用于对绩效指标完成情况进行比较。</w:t>
      </w:r>
    </w:p>
    <w:p>
      <w:pPr>
        <w:spacing w:line="560" w:lineRule="exact"/>
        <w:ind w:left="420" w:leftChars="200"/>
        <w:outlineLvl w:val="1"/>
        <w:rPr>
          <w:rFonts w:ascii="楷体_GB2312" w:hAnsi="楷体_GB2312" w:eastAsia="楷体_GB2312" w:cs="楷体_GB2312"/>
          <w:b/>
          <w:color w:val="000000"/>
          <w:sz w:val="32"/>
          <w:szCs w:val="32"/>
        </w:rPr>
      </w:pPr>
      <w:bookmarkStart w:id="26" w:name="_Toc24225"/>
      <w:r>
        <w:rPr>
          <w:rFonts w:hint="eastAsia" w:ascii="楷体_GB2312" w:hAnsi="楷体_GB2312" w:eastAsia="楷体_GB2312" w:cs="楷体_GB2312"/>
          <w:b/>
          <w:color w:val="000000"/>
          <w:sz w:val="32"/>
          <w:szCs w:val="32"/>
        </w:rPr>
        <w:t>（三）绩效评价工作过程</w:t>
      </w:r>
      <w:bookmarkEnd w:id="26"/>
    </w:p>
    <w:p>
      <w:pPr>
        <w:spacing w:line="560" w:lineRule="exact"/>
        <w:ind w:firstLine="640" w:firstLineChars="200"/>
        <w:rPr>
          <w:rFonts w:ascii="楷体_GB2312" w:hAnsi="楷体_GB2312" w:eastAsia="楷体_GB2312" w:cs="楷体_GB2312"/>
          <w:b/>
          <w:color w:val="000000"/>
          <w:sz w:val="32"/>
          <w:szCs w:val="32"/>
        </w:rPr>
      </w:pPr>
      <w:r>
        <w:rPr>
          <w:rFonts w:hint="eastAsia" w:ascii="仿宋_GB2312" w:hAnsi="宋体" w:eastAsia="仿宋_GB2312" w:cs="仿宋_GB2312"/>
          <w:color w:val="000000"/>
          <w:sz w:val="32"/>
          <w:szCs w:val="32"/>
        </w:rPr>
        <w:t>根据绩效评价的原则和规范，在前期基础资料研究的基础上，对获取的项目数据和信息进行归纳、总结和分析，结合制定的绩效评价指标体系对项目进行评分，并在此基础上提炼结论撰写绩效评价报告。</w:t>
      </w:r>
    </w:p>
    <w:p>
      <w:pPr>
        <w:spacing w:line="560" w:lineRule="exact"/>
        <w:ind w:firstLine="640" w:firstLineChars="200"/>
        <w:outlineLvl w:val="0"/>
        <w:rPr>
          <w:rFonts w:ascii="黑体" w:hAnsi="黑体" w:eastAsia="黑体"/>
          <w:color w:val="000000"/>
          <w:sz w:val="32"/>
          <w:szCs w:val="32"/>
        </w:rPr>
      </w:pPr>
      <w:bookmarkStart w:id="27" w:name="_Toc148"/>
      <w:r>
        <w:rPr>
          <w:rFonts w:hint="eastAsia" w:ascii="黑体" w:hAnsi="黑体" w:eastAsia="黑体"/>
          <w:color w:val="000000"/>
          <w:sz w:val="32"/>
          <w:szCs w:val="32"/>
        </w:rPr>
        <w:t>三、综合评价情况及评价结论</w:t>
      </w:r>
      <w:bookmarkEnd w:id="27"/>
    </w:p>
    <w:p>
      <w:pPr>
        <w:spacing w:line="560" w:lineRule="exact"/>
        <w:ind w:firstLine="640" w:firstLineChars="200"/>
      </w:pPr>
      <w:r>
        <w:rPr>
          <w:rFonts w:hint="eastAsia" w:ascii="仿宋_GB2312" w:hAnsi="宋体" w:eastAsia="仿宋_GB2312" w:cs="仿宋_GB2312"/>
          <w:sz w:val="32"/>
          <w:szCs w:val="32"/>
        </w:rPr>
        <w:t>该项目绩效评价采用定性评价和定量评价相结合的方法，总分值为100分。本次绩效评价结果分为四档：</w:t>
      </w:r>
    </w:p>
    <w:p>
      <w:pPr>
        <w:pStyle w:val="5"/>
        <w:spacing w:line="560" w:lineRule="exact"/>
        <w:ind w:firstLine="640"/>
        <w:rPr>
          <w:rFonts w:ascii="仿宋_GB2312" w:hAnsi="宋体" w:eastAsia="仿宋_GB2312" w:cs="仿宋_GB2312"/>
          <w:b w:val="0"/>
          <w:sz w:val="32"/>
          <w:szCs w:val="32"/>
        </w:rPr>
      </w:pPr>
      <w:r>
        <w:rPr>
          <w:rFonts w:hint="eastAsia" w:ascii="仿宋_GB2312" w:hAnsi="宋体" w:eastAsia="仿宋_GB2312" w:cs="仿宋_GB2312"/>
          <w:b w:val="0"/>
          <w:sz w:val="32"/>
          <w:szCs w:val="32"/>
        </w:rPr>
        <w:t>综合得分在90-100分（含90分）为优；</w:t>
      </w:r>
    </w:p>
    <w:p>
      <w:pPr>
        <w:pStyle w:val="5"/>
        <w:spacing w:line="560" w:lineRule="exact"/>
        <w:ind w:firstLine="640"/>
        <w:rPr>
          <w:rFonts w:ascii="仿宋_GB2312" w:hAnsi="宋体" w:eastAsia="仿宋_GB2312" w:cs="仿宋_GB2312"/>
          <w:b w:val="0"/>
          <w:sz w:val="32"/>
          <w:szCs w:val="32"/>
        </w:rPr>
      </w:pPr>
      <w:r>
        <w:rPr>
          <w:rFonts w:hint="eastAsia" w:ascii="仿宋_GB2312" w:hAnsi="宋体" w:eastAsia="仿宋_GB2312" w:cs="仿宋_GB2312"/>
          <w:b w:val="0"/>
          <w:sz w:val="32"/>
          <w:szCs w:val="32"/>
        </w:rPr>
        <w:t>综合得分在80-90分（含80分）为良；</w:t>
      </w:r>
    </w:p>
    <w:p>
      <w:pPr>
        <w:pStyle w:val="5"/>
        <w:spacing w:line="560" w:lineRule="exact"/>
        <w:ind w:firstLine="640"/>
        <w:rPr>
          <w:rFonts w:ascii="仿宋_GB2312" w:hAnsi="宋体" w:eastAsia="仿宋_GB2312" w:cs="仿宋_GB2312"/>
          <w:b w:val="0"/>
          <w:sz w:val="32"/>
          <w:szCs w:val="32"/>
        </w:rPr>
      </w:pPr>
      <w:r>
        <w:rPr>
          <w:rFonts w:hint="eastAsia" w:ascii="仿宋_GB2312" w:hAnsi="宋体" w:eastAsia="仿宋_GB2312" w:cs="仿宋_GB2312"/>
          <w:b w:val="0"/>
          <w:sz w:val="32"/>
          <w:szCs w:val="32"/>
        </w:rPr>
        <w:t>综合得分在60-80分（含60分）为中；</w:t>
      </w:r>
    </w:p>
    <w:p>
      <w:pPr>
        <w:pStyle w:val="5"/>
        <w:spacing w:line="560" w:lineRule="exact"/>
        <w:ind w:firstLine="640"/>
        <w:rPr>
          <w:rFonts w:ascii="仿宋_GB2312" w:hAnsi="宋体" w:eastAsia="仿宋_GB2312" w:cs="仿宋_GB2312"/>
          <w:b w:val="0"/>
          <w:sz w:val="32"/>
          <w:szCs w:val="32"/>
        </w:rPr>
      </w:pPr>
      <w:r>
        <w:rPr>
          <w:rFonts w:hint="eastAsia" w:ascii="仿宋_GB2312" w:hAnsi="宋体" w:eastAsia="仿宋_GB2312" w:cs="仿宋_GB2312"/>
          <w:b w:val="0"/>
          <w:sz w:val="32"/>
          <w:szCs w:val="32"/>
        </w:rPr>
        <w:t>综合得分在60分以下为差。</w:t>
      </w:r>
    </w:p>
    <w:p>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从项目决策、项目过程、项目产出和项目效益四个维度，通过数据采集、实地调研和问卷访谈等方式，对该项目进行了客观公正评价，本项目总体得分为98.87分，绩效评级属于“优”。根据对决策、过程、产出、效益指标评分标准，4项指标得分分别为14分、14.87分、40分、30分，各项指标评分情况如下表所示：</w:t>
      </w:r>
    </w:p>
    <w:p>
      <w:pPr>
        <w:pStyle w:val="5"/>
        <w:spacing w:line="560" w:lineRule="exact"/>
        <w:jc w:val="center"/>
        <w:rPr>
          <w:rFonts w:ascii="仿宋_GB2312" w:hAnsi="宋体" w:eastAsia="仿宋_GB2312" w:cs="仿宋_GB2312"/>
          <w:bCs/>
          <w:sz w:val="32"/>
          <w:szCs w:val="32"/>
        </w:rPr>
      </w:pPr>
      <w:r>
        <w:rPr>
          <w:rFonts w:hint="eastAsia" w:ascii="仿宋_GB2312" w:hAnsi="宋体" w:eastAsia="仿宋_GB2312" w:cs="仿宋_GB2312"/>
          <w:bCs/>
          <w:sz w:val="32"/>
          <w:szCs w:val="32"/>
        </w:rPr>
        <w:t>市本级公益性公墓建设（城北及城东）项目</w:t>
      </w:r>
    </w:p>
    <w:p>
      <w:pPr>
        <w:pStyle w:val="5"/>
        <w:spacing w:line="560" w:lineRule="exact"/>
        <w:jc w:val="center"/>
        <w:rPr>
          <w:rFonts w:ascii="仿宋_GB2312" w:hAnsi="宋体" w:eastAsia="仿宋_GB2312" w:cs="仿宋_GB2312"/>
          <w:bCs/>
          <w:sz w:val="32"/>
          <w:szCs w:val="32"/>
        </w:rPr>
      </w:pPr>
      <w:r>
        <w:rPr>
          <w:rFonts w:hint="eastAsia" w:ascii="仿宋_GB2312" w:hAnsi="宋体" w:eastAsia="仿宋_GB2312" w:cs="仿宋_GB2312"/>
          <w:bCs/>
          <w:sz w:val="32"/>
          <w:szCs w:val="32"/>
        </w:rPr>
        <w:t>绩效得分情况表</w:t>
      </w:r>
    </w:p>
    <w:tbl>
      <w:tblPr>
        <w:tblStyle w:val="13"/>
        <w:tblW w:w="8423" w:type="dxa"/>
        <w:jc w:val="center"/>
        <w:tblInd w:w="0" w:type="dxa"/>
        <w:tblLayout w:type="fixed"/>
        <w:tblCellMar>
          <w:top w:w="0" w:type="dxa"/>
          <w:left w:w="108" w:type="dxa"/>
          <w:bottom w:w="0" w:type="dxa"/>
          <w:right w:w="108" w:type="dxa"/>
        </w:tblCellMar>
      </w:tblPr>
      <w:tblGrid>
        <w:gridCol w:w="1091"/>
        <w:gridCol w:w="1380"/>
        <w:gridCol w:w="1576"/>
        <w:gridCol w:w="1673"/>
        <w:gridCol w:w="1394"/>
        <w:gridCol w:w="1309"/>
      </w:tblGrid>
      <w:tr>
        <w:tblPrEx>
          <w:tblLayout w:type="fixed"/>
          <w:tblCellMar>
            <w:top w:w="0" w:type="dxa"/>
            <w:left w:w="108" w:type="dxa"/>
            <w:bottom w:w="0" w:type="dxa"/>
            <w:right w:w="108" w:type="dxa"/>
          </w:tblCellMar>
        </w:tblPrEx>
        <w:trPr>
          <w:trHeight w:val="930"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sz w:val="24"/>
                <w:szCs w:val="24"/>
              </w:rPr>
            </w:pPr>
            <w:bookmarkStart w:id="28" w:name="_Toc16105"/>
            <w:r>
              <w:rPr>
                <w:rFonts w:hint="eastAsia" w:ascii="宋体" w:hAnsi="宋体" w:cs="宋体"/>
                <w:b/>
                <w:bCs/>
                <w:kern w:val="0"/>
                <w:sz w:val="24"/>
                <w:szCs w:val="24"/>
              </w:rPr>
              <w:t>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sz w:val="24"/>
                <w:szCs w:val="24"/>
              </w:rPr>
            </w:pPr>
            <w:r>
              <w:rPr>
                <w:rFonts w:hint="eastAsia" w:ascii="宋体" w:hAnsi="宋体" w:cs="宋体"/>
                <w:b/>
                <w:bCs/>
                <w:kern w:val="0"/>
                <w:sz w:val="24"/>
                <w:szCs w:val="24"/>
              </w:rPr>
              <w:t>项目决策</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sz w:val="24"/>
                <w:szCs w:val="24"/>
              </w:rPr>
            </w:pPr>
            <w:r>
              <w:rPr>
                <w:rFonts w:hint="eastAsia" w:ascii="宋体" w:hAnsi="宋体" w:cs="宋体"/>
                <w:b/>
                <w:bCs/>
                <w:kern w:val="0"/>
                <w:sz w:val="24"/>
                <w:szCs w:val="24"/>
              </w:rPr>
              <w:t>项目过程</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sz w:val="24"/>
                <w:szCs w:val="24"/>
              </w:rPr>
            </w:pPr>
            <w:r>
              <w:rPr>
                <w:rFonts w:hint="eastAsia" w:ascii="宋体" w:hAnsi="宋体" w:cs="宋体"/>
                <w:b/>
                <w:bCs/>
                <w:kern w:val="0"/>
                <w:sz w:val="24"/>
                <w:szCs w:val="24"/>
              </w:rPr>
              <w:t>项目产出</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sz w:val="24"/>
                <w:szCs w:val="24"/>
              </w:rPr>
            </w:pPr>
            <w:r>
              <w:rPr>
                <w:rFonts w:hint="eastAsia" w:ascii="宋体" w:hAnsi="宋体" w:cs="宋体"/>
                <w:b/>
                <w:bCs/>
                <w:kern w:val="0"/>
                <w:sz w:val="24"/>
                <w:szCs w:val="24"/>
              </w:rPr>
              <w:t>项目效益</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sz w:val="24"/>
                <w:szCs w:val="24"/>
              </w:rPr>
            </w:pPr>
            <w:r>
              <w:rPr>
                <w:rFonts w:hint="eastAsia" w:ascii="宋体" w:hAnsi="宋体" w:cs="宋体"/>
                <w:b/>
                <w:bCs/>
                <w:kern w:val="0"/>
                <w:sz w:val="24"/>
                <w:szCs w:val="24"/>
              </w:rPr>
              <w:t>合计</w:t>
            </w:r>
          </w:p>
        </w:tc>
      </w:tr>
      <w:tr>
        <w:tblPrEx>
          <w:tblLayout w:type="fixed"/>
          <w:tblCellMar>
            <w:top w:w="0" w:type="dxa"/>
            <w:left w:w="108" w:type="dxa"/>
            <w:bottom w:w="0" w:type="dxa"/>
            <w:right w:w="108" w:type="dxa"/>
          </w:tblCellMar>
        </w:tblPrEx>
        <w:trPr>
          <w:trHeight w:val="804"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权重</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15</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15</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40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30</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100</w:t>
            </w:r>
          </w:p>
        </w:tc>
      </w:tr>
      <w:tr>
        <w:tblPrEx>
          <w:tblLayout w:type="fixed"/>
          <w:tblCellMar>
            <w:top w:w="0" w:type="dxa"/>
            <w:left w:w="108" w:type="dxa"/>
            <w:bottom w:w="0" w:type="dxa"/>
            <w:right w:w="108" w:type="dxa"/>
          </w:tblCellMar>
        </w:tblPrEx>
        <w:trPr>
          <w:trHeight w:val="804"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14</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14.87</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40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30</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98.87</w:t>
            </w:r>
          </w:p>
        </w:tc>
      </w:tr>
      <w:tr>
        <w:tblPrEx>
          <w:tblLayout w:type="fixed"/>
          <w:tblCellMar>
            <w:top w:w="0" w:type="dxa"/>
            <w:left w:w="108" w:type="dxa"/>
            <w:bottom w:w="0" w:type="dxa"/>
            <w:right w:w="108" w:type="dxa"/>
          </w:tblCellMar>
        </w:tblPrEx>
        <w:trPr>
          <w:trHeight w:val="828" w:hRule="atLeast"/>
          <w:jc w:val="center"/>
        </w:trPr>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kern w:val="0"/>
                <w:sz w:val="24"/>
                <w:szCs w:val="24"/>
              </w:rPr>
              <w:t>得分率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93.33</w:t>
            </w:r>
          </w:p>
        </w:tc>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99.13</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100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100</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宋体" w:hAnsi="宋体" w:cs="宋体"/>
                <w:sz w:val="24"/>
                <w:szCs w:val="24"/>
              </w:rPr>
            </w:pPr>
            <w:r>
              <w:rPr>
                <w:rFonts w:hint="eastAsia" w:ascii="宋体" w:hAnsi="宋体" w:cs="宋体"/>
                <w:sz w:val="24"/>
                <w:szCs w:val="24"/>
              </w:rPr>
              <w:t>98.87</w:t>
            </w:r>
          </w:p>
        </w:tc>
      </w:tr>
    </w:tbl>
    <w:p>
      <w:pPr>
        <w:spacing w:line="560" w:lineRule="exact"/>
        <w:ind w:firstLine="640" w:firstLineChars="200"/>
        <w:outlineLvl w:val="0"/>
        <w:rPr>
          <w:rFonts w:ascii="黑体" w:hAnsi="黑体" w:eastAsia="黑体" w:cs="黑体"/>
          <w:bCs/>
          <w:kern w:val="44"/>
          <w:sz w:val="36"/>
          <w:szCs w:val="36"/>
        </w:rPr>
      </w:pPr>
      <w:r>
        <w:rPr>
          <w:rFonts w:hint="eastAsia" w:ascii="黑体" w:hAnsi="黑体" w:eastAsia="黑体"/>
          <w:color w:val="000000"/>
          <w:sz w:val="32"/>
          <w:szCs w:val="32"/>
        </w:rPr>
        <w:t>四、绩效评价指标分析</w:t>
      </w:r>
      <w:bookmarkEnd w:id="28"/>
    </w:p>
    <w:p>
      <w:pPr>
        <w:pStyle w:val="5"/>
        <w:spacing w:line="560" w:lineRule="exact"/>
        <w:ind w:firstLine="641" w:firstLineChars="200"/>
        <w:outlineLvl w:val="1"/>
        <w:rPr>
          <w:rFonts w:ascii="楷体_GB2312" w:hAnsi="楷体_GB2312" w:eastAsia="楷体_GB2312" w:cs="楷体_GB2312"/>
          <w:color w:val="000000"/>
          <w:sz w:val="32"/>
          <w:szCs w:val="32"/>
        </w:rPr>
      </w:pPr>
      <w:bookmarkStart w:id="29" w:name="_Toc9615"/>
      <w:r>
        <w:rPr>
          <w:rFonts w:hint="eastAsia" w:ascii="楷体_GB2312" w:hAnsi="楷体_GB2312" w:eastAsia="楷体_GB2312" w:cs="楷体_GB2312"/>
          <w:color w:val="000000"/>
          <w:sz w:val="32"/>
          <w:szCs w:val="32"/>
        </w:rPr>
        <w:t>（一）项目决策情况</w:t>
      </w:r>
      <w:bookmarkEnd w:id="29"/>
    </w:p>
    <w:p>
      <w:pPr>
        <w:spacing w:line="560" w:lineRule="exact"/>
        <w:ind w:firstLine="641" w:firstLineChars="200"/>
        <w:rPr>
          <w:rFonts w:hint="eastAsia" w:ascii="仿宋_GB2312" w:hAnsi="宋体" w:eastAsia="仿宋_GB2312" w:cs="仿宋_GB2312"/>
          <w:b/>
          <w:bCs/>
          <w:sz w:val="32"/>
          <w:szCs w:val="32"/>
          <w:highlight w:val="yellow"/>
          <w:lang w:eastAsia="zh-CN"/>
        </w:rPr>
      </w:pPr>
      <w:r>
        <w:rPr>
          <w:rFonts w:hint="eastAsia" w:ascii="仿宋_GB2312" w:hAnsi="宋体" w:eastAsia="仿宋_GB2312" w:cs="仿宋_GB2312"/>
          <w:b/>
          <w:bCs/>
          <w:sz w:val="32"/>
          <w:szCs w:val="32"/>
        </w:rPr>
        <w:t>1.项目立</w:t>
      </w:r>
      <w:r>
        <w:rPr>
          <w:rFonts w:hint="eastAsia" w:ascii="仿宋_GB2312" w:hAnsi="宋体" w:eastAsia="仿宋_GB2312" w:cs="仿宋_GB2312"/>
          <w:b/>
          <w:bCs/>
          <w:sz w:val="32"/>
          <w:szCs w:val="32"/>
          <w:highlight w:val="none"/>
        </w:rPr>
        <w:t>项</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5分，得分5分</w:t>
      </w:r>
      <w:r>
        <w:rPr>
          <w:rFonts w:hint="eastAsia" w:ascii="仿宋_GB2312" w:hAnsi="宋体" w:eastAsia="仿宋_GB2312" w:cs="仿宋_GB2312"/>
          <w:b/>
          <w:bCs/>
          <w:sz w:val="32"/>
          <w:szCs w:val="32"/>
          <w:highlight w:val="none"/>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（1）立项依据充分性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2分，得分2分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该项目立项符合《国务院办公厅转发民政部关于进一步加强公墓管理意见的通知》和《殡葬管理条例》（国务院）等文件精神，也符合《江西省公墓管理办法》中提出的“鼓励采取树葬、花葬、草坪葬和水葬、骨灰撒散等节地生态葬法。对在公墓规划区内树葬、花葬、草坪葬的，免费提供安葬服务。对采取生态安葬的居民当地政府可以给予奖励”相关要求。故该项目设立符合国家法律法规和相关政策，符合行业发展规划和政策要求，与单位职责范围也相符。</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（2）立项程序规范性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3分，得分3分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南昌市殡仪服务中心根据《关于印发市本级城市公益性公墓建设工作协调会议纪要的通知》等相关要求，编制了项目立项申请书提交至南昌市行政审批局。行政审批局对该项目进行了立项批复，批复文件为《关于市本级公益性公墓建设项目建议书的批复》（洪行审投字〔2020〕12号），该项目立项程序较为规范，审批材料也符合相关要求。</w:t>
      </w:r>
    </w:p>
    <w:p>
      <w:pPr>
        <w:spacing w:line="560" w:lineRule="exact"/>
        <w:ind w:firstLine="641" w:firstLineChars="200"/>
        <w:rPr>
          <w:rFonts w:ascii="仿宋_GB2312" w:hAnsi="宋体" w:eastAsia="仿宋_GB2312" w:cs="仿宋_GB2312"/>
          <w:b/>
          <w:bCs/>
          <w:sz w:val="32"/>
          <w:szCs w:val="32"/>
        </w:rPr>
      </w:pPr>
      <w:r>
        <w:rPr>
          <w:rFonts w:hint="eastAsia" w:ascii="仿宋_GB2312" w:hAnsi="宋体" w:eastAsia="仿宋_GB2312" w:cs="仿宋_GB2312"/>
          <w:b/>
          <w:bCs/>
          <w:sz w:val="32"/>
          <w:szCs w:val="32"/>
        </w:rPr>
        <w:t>2.绩效目标</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5分，得分4分</w:t>
      </w:r>
      <w:r>
        <w:rPr>
          <w:rFonts w:hint="eastAsia" w:ascii="仿宋_GB2312" w:hAnsi="宋体" w:eastAsia="仿宋_GB2312" w:cs="仿宋_GB2312"/>
          <w:b/>
          <w:bCs/>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（1）绩效目标合理性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2分，得分2分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该项目设有绩效目标，且项目预期产出效益和效果符合正常的业绩水平，项目绩效目标与实际工作内容具有相关性，目标与预算确定的项目投资额或资金量也相匹配，该项目绩效目标设置较为合理。</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（2）绩效指标明确性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3分，得分2分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根据项目绩效目标申报表，该项目绩效目标已细化分解为具体的绩效指标，且与项目目标任务数或计划数也能相对应，但其效益指标设置较为笼统，具体为：社会效益指标设置为“满足市民平价丧葬需求”，对应指标值为“基本满足”，该指标值设置不清晰，未细化、量化，且社会效益指标设置单一，评价体系不够多元，不利于项目后期的绩效考核工作。</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3.资金投入</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5分，得分5分</w:t>
      </w:r>
      <w:r>
        <w:rPr>
          <w:rFonts w:hint="eastAsia" w:ascii="仿宋_GB2312" w:hAnsi="宋体" w:eastAsia="仿宋_GB2312" w:cs="仿宋_GB2312"/>
          <w:bCs/>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（1）预算编制科学性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该项目预算根据2025年度拟支付的划拨土地款测算以及发改委批复的项目概算而来，预算编制依据充分，资金额度与项目内容也匹配，故预算编制较为科学。</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（2）资金分配合理性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1分，得分1分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该项目2025年度预算金额为2524.81万元。该分配与项目实际情况相符，资金分配较为合理。</w:t>
      </w:r>
    </w:p>
    <w:p>
      <w:pPr>
        <w:spacing w:line="560" w:lineRule="exact"/>
        <w:ind w:firstLine="641" w:firstLineChars="200"/>
        <w:outlineLvl w:val="1"/>
        <w:rPr>
          <w:rFonts w:ascii="楷体_GB2312" w:hAnsi="楷体_GB2312" w:eastAsia="楷体_GB2312" w:cs="楷体_GB2312"/>
          <w:b/>
          <w:sz w:val="32"/>
          <w:szCs w:val="32"/>
        </w:rPr>
      </w:pPr>
      <w:bookmarkStart w:id="30" w:name="_Toc8730"/>
      <w:r>
        <w:rPr>
          <w:rFonts w:hint="eastAsia" w:ascii="楷体_GB2312" w:hAnsi="楷体_GB2312" w:eastAsia="楷体_GB2312" w:cs="楷体_GB2312"/>
          <w:b/>
          <w:sz w:val="32"/>
          <w:szCs w:val="32"/>
        </w:rPr>
        <w:t>（二）项目过程情况</w:t>
      </w:r>
      <w:bookmarkEnd w:id="30"/>
    </w:p>
    <w:p>
      <w:pPr>
        <w:pStyle w:val="5"/>
        <w:spacing w:line="560" w:lineRule="exact"/>
        <w:ind w:firstLine="641" w:firstLineChars="200"/>
        <w:jc w:val="left"/>
        <w:rPr>
          <w:rFonts w:hint="eastAsia" w:ascii="仿宋_GB2312" w:hAnsi="宋体" w:eastAsia="仿宋_GB2312" w:cs="仿宋_GB2312"/>
          <w:bCs/>
          <w:sz w:val="32"/>
          <w:szCs w:val="32"/>
        </w:rPr>
      </w:pPr>
      <w:r>
        <w:rPr>
          <w:rFonts w:hint="eastAsia" w:ascii="仿宋_GB2312" w:hAnsi="宋体" w:eastAsia="仿宋_GB2312" w:cs="仿宋_GB2312"/>
          <w:bCs/>
          <w:sz w:val="32"/>
          <w:szCs w:val="32"/>
        </w:rPr>
        <w:t>1.资金管理</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5分，得分4.87分</w:t>
      </w:r>
      <w:r>
        <w:rPr>
          <w:rFonts w:hint="eastAsia" w:ascii="仿宋_GB2312" w:hAnsi="宋体" w:eastAsia="仿宋_GB2312" w:cs="仿宋_GB2312"/>
          <w:bCs/>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（1）资金到位率</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2分，得分1.87分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highlight w:val="none"/>
        </w:rPr>
      </w:pPr>
      <w:bookmarkStart w:id="45" w:name="_GoBack"/>
      <w:r>
        <w:rPr>
          <w:rFonts w:hint="eastAsia" w:ascii="仿宋_GB2312" w:hAnsi="宋体" w:eastAsia="仿宋_GB2312" w:cs="仿宋_GB2312"/>
          <w:b w:val="0"/>
          <w:sz w:val="32"/>
          <w:szCs w:val="32"/>
          <w:highlight w:val="none"/>
        </w:rPr>
        <w:t>该项目市财政预算资金</w:t>
      </w:r>
      <w:r>
        <w:rPr>
          <w:rFonts w:hint="default" w:ascii="仿宋_GB2312" w:hAnsi="宋体" w:eastAsia="仿宋_GB2312" w:cs="仿宋_GB2312"/>
          <w:b w:val="0"/>
          <w:sz w:val="32"/>
          <w:szCs w:val="32"/>
          <w:highlight w:val="none"/>
          <w:woUserID w:val="2"/>
        </w:rPr>
        <w:t>批复金额2700</w:t>
      </w:r>
      <w:r>
        <w:rPr>
          <w:rFonts w:hint="eastAsia" w:ascii="仿宋_GB2312" w:hAnsi="宋体" w:eastAsia="仿宋_GB2312" w:cs="仿宋_GB2312"/>
          <w:b w:val="0"/>
          <w:sz w:val="32"/>
          <w:szCs w:val="32"/>
          <w:highlight w:val="none"/>
        </w:rPr>
        <w:t>万元，截止至2025年12月31日市财政实际下拨资金为2524.81万元，资金到位率</w:t>
      </w:r>
      <w:r>
        <w:rPr>
          <w:rFonts w:hint="default" w:ascii="仿宋_GB2312" w:hAnsi="宋体" w:eastAsia="仿宋_GB2312" w:cs="仿宋_GB2312"/>
          <w:b w:val="0"/>
          <w:sz w:val="32"/>
          <w:szCs w:val="32"/>
          <w:highlight w:val="none"/>
          <w:woUserID w:val="2"/>
        </w:rPr>
        <w:t>93.51</w:t>
      </w:r>
      <w:r>
        <w:rPr>
          <w:rFonts w:hint="eastAsia" w:ascii="仿宋_GB2312" w:hAnsi="宋体" w:eastAsia="仿宋_GB2312" w:cs="仿宋_GB2312"/>
          <w:b w:val="0"/>
          <w:sz w:val="32"/>
          <w:szCs w:val="32"/>
          <w:highlight w:val="none"/>
        </w:rPr>
        <w:t>%。</w:t>
      </w:r>
    </w:p>
    <w:bookmarkEnd w:id="45"/>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（2）预算执行率</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3分，得分3分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该项目全年预算数2524.81万元，截止至2025年12月31日项目实际支出2524.81万元，资金预算执行率为100%。</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（3）资金使用合规性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宋体" w:eastAsia="仿宋_GB2312" w:cs="仿宋_GB2312"/>
          <w:b w:val="0"/>
          <w:sz w:val="32"/>
          <w:szCs w:val="32"/>
        </w:rPr>
        <w:t>该项目资金使用基本符合《中华人民共和国会计法》、《事业单位财务规则》、《南昌市殡葬管理处财务管理制度》以及《南昌市殡葬管理处财务报销制度》等相关规定。本次评价抽查了项目明细账，了解到，单位对项目资金实行了专账核算，预算资金均用于本项目支出，不存在截留、挤占、挪用、虚列支出等情况；此外，该项目资金的拨付均有完整的审批程序和手续。</w:t>
      </w:r>
    </w:p>
    <w:p>
      <w:pPr>
        <w:pStyle w:val="5"/>
        <w:spacing w:line="560" w:lineRule="exact"/>
        <w:ind w:firstLine="641" w:firstLineChars="200"/>
        <w:jc w:val="left"/>
        <w:rPr>
          <w:rFonts w:ascii="仿宋_GB2312" w:hAnsi="宋体" w:eastAsia="仿宋_GB2312" w:cs="仿宋_GB2312"/>
          <w:bCs/>
          <w:sz w:val="32"/>
          <w:szCs w:val="32"/>
        </w:rPr>
      </w:pPr>
      <w:r>
        <w:rPr>
          <w:rFonts w:hint="eastAsia" w:ascii="仿宋_GB2312" w:hAnsi="宋体" w:eastAsia="仿宋_GB2312" w:cs="仿宋_GB2312"/>
          <w:bCs/>
          <w:sz w:val="32"/>
          <w:szCs w:val="32"/>
        </w:rPr>
        <w:t>2.组织实施</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6分，得分6分</w:t>
      </w:r>
      <w:r>
        <w:rPr>
          <w:rFonts w:hint="eastAsia" w:ascii="仿宋_GB2312" w:hAnsi="宋体" w:eastAsia="仿宋_GB2312" w:cs="仿宋_GB2312"/>
          <w:bCs/>
          <w:sz w:val="32"/>
          <w:szCs w:val="32"/>
          <w:lang w:eastAsia="zh-CN"/>
        </w:rPr>
        <w:t>）</w:t>
      </w:r>
    </w:p>
    <w:p>
      <w:pPr>
        <w:pStyle w:val="5"/>
        <w:spacing w:line="560" w:lineRule="exact"/>
        <w:ind w:firstLine="640" w:firstLineChars="200"/>
        <w:jc w:val="left"/>
        <w:rPr>
          <w:rFonts w:ascii="仿宋_GB2312" w:hAnsi="宋体" w:eastAsia="仿宋_GB2312" w:cs="仿宋_GB2312"/>
          <w:b w:val="0"/>
          <w:sz w:val="32"/>
          <w:szCs w:val="32"/>
        </w:rPr>
      </w:pPr>
      <w:r>
        <w:rPr>
          <w:rFonts w:hint="eastAsia" w:ascii="仿宋_GB2312" w:hAnsi="宋体" w:eastAsia="仿宋_GB2312" w:cs="仿宋_GB2312"/>
          <w:b w:val="0"/>
          <w:sz w:val="32"/>
          <w:szCs w:val="32"/>
        </w:rPr>
        <w:t>（1）管理制度健全性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2分，得分2分</w:t>
      </w:r>
      <w:r>
        <w:rPr>
          <w:rFonts w:hint="eastAsia" w:ascii="仿宋_GB2312" w:hAnsi="宋体" w:eastAsia="仿宋_GB2312" w:cs="仿宋_GB2312"/>
          <w:b w:val="0"/>
          <w:sz w:val="32"/>
          <w:szCs w:val="32"/>
          <w:lang w:eastAsia="zh-CN"/>
        </w:rPr>
        <w:t>）</w:t>
      </w:r>
    </w:p>
    <w:p>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该项目实施主要依据《南昌市殡葬管理处建设项目内部控制制度》和《南昌市殡葬管理处财务管理制度》等管理制度执行，项目可研报告中已明确项目实施内容、工作流程、时间安排、组织领导等，管理制度健全。</w:t>
      </w:r>
    </w:p>
    <w:p>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（2）制度执行有效性</w:t>
      </w:r>
      <w:r>
        <w:rPr>
          <w:rFonts w:hint="eastAsia" w:ascii="仿宋_GB2312" w:hAnsi="宋体" w:eastAsia="仿宋_GB2312" w:cs="仿宋_GB2312"/>
          <w:sz w:val="32"/>
          <w:szCs w:val="32"/>
          <w:lang w:eastAsia="zh-CN"/>
        </w:rPr>
        <w:t>（权重</w:t>
      </w:r>
      <w:r>
        <w:rPr>
          <w:rFonts w:hint="eastAsia" w:ascii="仿宋_GB2312" w:hAnsi="宋体" w:eastAsia="仿宋_GB2312" w:cs="仿宋_GB2312"/>
          <w:sz w:val="32"/>
          <w:szCs w:val="32"/>
          <w:lang w:val="en-US" w:eastAsia="zh-CN"/>
        </w:rPr>
        <w:t>4分，得分4分</w:t>
      </w:r>
      <w:r>
        <w:rPr>
          <w:rFonts w:hint="eastAsia" w:ascii="仿宋_GB2312" w:hAnsi="宋体" w:eastAsia="仿宋_GB2312" w:cs="仿宋_GB2312"/>
          <w:sz w:val="32"/>
          <w:szCs w:val="32"/>
          <w:lang w:eastAsia="zh-CN"/>
        </w:rPr>
        <w:t>）</w:t>
      </w:r>
    </w:p>
    <w:p>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在项目实施过程中，项目实施单位基本能遵守相关法律法规，并按照《南昌市殡葬管理处建设项目内部控制制度》和《南昌市殡葬管理处财务管理制度》等管理制度执行，该项目制度执行较为有效。</w:t>
      </w:r>
    </w:p>
    <w:p>
      <w:pPr>
        <w:spacing w:line="560" w:lineRule="exact"/>
        <w:ind w:firstLine="641" w:firstLineChars="200"/>
        <w:outlineLvl w:val="1"/>
        <w:rPr>
          <w:rFonts w:ascii="楷体_GB2312" w:hAnsi="楷体_GB2312" w:eastAsia="楷体_GB2312" w:cs="楷体_GB2312"/>
          <w:b/>
          <w:color w:val="000000"/>
          <w:sz w:val="32"/>
          <w:szCs w:val="32"/>
        </w:rPr>
      </w:pPr>
      <w:bookmarkStart w:id="31" w:name="_Toc6836"/>
      <w:r>
        <w:rPr>
          <w:rFonts w:hint="eastAsia" w:ascii="楷体_GB2312" w:hAnsi="楷体_GB2312" w:eastAsia="楷体_GB2312" w:cs="楷体_GB2312"/>
          <w:b/>
          <w:color w:val="000000"/>
          <w:sz w:val="32"/>
          <w:szCs w:val="32"/>
        </w:rPr>
        <w:t>（三）项目产出情况</w:t>
      </w:r>
      <w:bookmarkEnd w:id="31"/>
    </w:p>
    <w:p>
      <w:pPr>
        <w:pStyle w:val="5"/>
        <w:spacing w:line="560" w:lineRule="exact"/>
        <w:ind w:firstLine="641" w:firstLineChars="200"/>
        <w:rPr>
          <w:rFonts w:hint="eastAsia" w:ascii="仿宋_GB2312" w:hAnsi="宋体" w:eastAsia="仿宋_GB2312" w:cs="仿宋_GB2312"/>
          <w:bCs/>
          <w:sz w:val="32"/>
          <w:szCs w:val="32"/>
        </w:rPr>
      </w:pPr>
      <w:r>
        <w:rPr>
          <w:rFonts w:hint="eastAsia" w:ascii="仿宋_GB2312" w:hAnsi="宋体" w:eastAsia="仿宋_GB2312" w:cs="仿宋_GB2312"/>
          <w:bCs/>
          <w:sz w:val="32"/>
          <w:szCs w:val="32"/>
        </w:rPr>
        <w:t>1.产出数量</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20分，得分20分</w:t>
      </w:r>
      <w:r>
        <w:rPr>
          <w:rFonts w:hint="eastAsia" w:ascii="仿宋_GB2312" w:hAnsi="宋体" w:eastAsia="仿宋_GB2312" w:cs="仿宋_GB2312"/>
          <w:bCs/>
          <w:sz w:val="32"/>
          <w:szCs w:val="32"/>
          <w:lang w:eastAsia="zh-CN"/>
        </w:rPr>
        <w:t>）</w:t>
      </w:r>
    </w:p>
    <w:p>
      <w:pPr>
        <w:pStyle w:val="5"/>
        <w:spacing w:line="560" w:lineRule="exact"/>
        <w:ind w:firstLine="640" w:firstLineChars="200"/>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市本级公益性公墓建设（城北及城东）项目截止至2025年12月31日，各分项工程已完成具体工程量如下，各项施工内容均按规划落实，并已完成年初设定的全部工程量目标，具体情况如下：</w:t>
      </w:r>
    </w:p>
    <w:p>
      <w:pPr>
        <w:pStyle w:val="5"/>
        <w:spacing w:line="560" w:lineRule="exact"/>
        <w:ind w:firstLine="640" w:firstLineChars="200"/>
        <w:jc w:val="left"/>
        <w:rPr>
          <w:rFonts w:hint="eastAsia" w:ascii="仿宋_GB2312" w:hAnsi="宋体" w:eastAsia="仿宋_GB2312" w:cs="仿宋_GB2312"/>
          <w:b w:val="0"/>
          <w:sz w:val="32"/>
          <w:szCs w:val="32"/>
          <w:highlight w:val="none"/>
          <w:lang w:val="en-US" w:eastAsia="zh-CN"/>
        </w:rPr>
      </w:pPr>
      <w:r>
        <w:rPr>
          <w:rFonts w:hint="eastAsia" w:ascii="仿宋_GB2312" w:hAnsi="宋体" w:eastAsia="仿宋_GB2312" w:cs="仿宋_GB2312"/>
          <w:b w:val="0"/>
          <w:sz w:val="32"/>
          <w:szCs w:val="32"/>
          <w:highlight w:val="none"/>
        </w:rPr>
        <w:t>（1）墓穴及葬式工程：完成安装单墓穴1100套、双墓穴1800套；新建双墓穴3000个、民族墓穴450个、壁葬600个</w:t>
      </w:r>
      <w:r>
        <w:rPr>
          <w:rFonts w:hint="eastAsia" w:ascii="仿宋_GB2312" w:hAnsi="宋体" w:eastAsia="仿宋_GB2312" w:cs="仿宋_GB2312"/>
          <w:b w:val="0"/>
          <w:sz w:val="32"/>
          <w:szCs w:val="32"/>
          <w:highlight w:val="none"/>
          <w:lang w:val="en-US" w:eastAsia="zh-CN"/>
        </w:rPr>
        <w:t>,已完成目标值。</w:t>
      </w:r>
    </w:p>
    <w:p>
      <w:pPr>
        <w:pStyle w:val="5"/>
        <w:spacing w:line="560" w:lineRule="exact"/>
        <w:ind w:firstLine="640" w:firstLineChars="200"/>
        <w:jc w:val="left"/>
        <w:rPr>
          <w:rFonts w:hint="eastAsia" w:ascii="仿宋_GB2312" w:hAnsi="宋体" w:eastAsia="仿宋_GB2312" w:cs="仿宋_GB2312"/>
          <w:b w:val="0"/>
          <w:sz w:val="32"/>
          <w:szCs w:val="32"/>
          <w:highlight w:val="none"/>
          <w:lang w:val="en-US" w:eastAsia="zh-CN"/>
        </w:rPr>
      </w:pPr>
      <w:r>
        <w:rPr>
          <w:rFonts w:hint="eastAsia" w:ascii="仿宋_GB2312" w:hAnsi="宋体" w:eastAsia="仿宋_GB2312" w:cs="仿宋_GB2312"/>
          <w:b w:val="0"/>
          <w:sz w:val="32"/>
          <w:szCs w:val="32"/>
          <w:highlight w:val="none"/>
        </w:rPr>
        <w:t>（2）绿化景观工程：回填绿化种植土50000立方米，铺种绿化草皮80000平方米，完成树木种植1000棵</w:t>
      </w:r>
      <w:r>
        <w:rPr>
          <w:rFonts w:hint="eastAsia" w:ascii="仿宋_GB2312" w:hAnsi="宋体" w:eastAsia="仿宋_GB2312" w:cs="仿宋_GB2312"/>
          <w:b w:val="0"/>
          <w:sz w:val="32"/>
          <w:szCs w:val="32"/>
          <w:highlight w:val="none"/>
          <w:lang w:val="en-US" w:eastAsia="zh-CN"/>
        </w:rPr>
        <w:t>,已完成目标值。</w:t>
      </w:r>
    </w:p>
    <w:p>
      <w:pPr>
        <w:pStyle w:val="5"/>
        <w:spacing w:line="560" w:lineRule="exact"/>
        <w:ind w:firstLine="640" w:firstLineChars="200"/>
        <w:jc w:val="left"/>
        <w:rPr>
          <w:rFonts w:hint="eastAsia" w:ascii="仿宋_GB2312" w:hAnsi="宋体" w:eastAsia="仿宋_GB2312" w:cs="仿宋_GB2312"/>
          <w:b w:val="0"/>
          <w:sz w:val="32"/>
          <w:szCs w:val="32"/>
          <w:highlight w:val="none"/>
          <w:lang w:val="en-US" w:eastAsia="zh-CN"/>
        </w:rPr>
      </w:pPr>
      <w:r>
        <w:rPr>
          <w:rFonts w:hint="eastAsia" w:ascii="仿宋_GB2312" w:hAnsi="宋体" w:eastAsia="仿宋_GB2312" w:cs="仿宋_GB2312"/>
          <w:b w:val="0"/>
          <w:sz w:val="32"/>
          <w:szCs w:val="32"/>
          <w:highlight w:val="none"/>
        </w:rPr>
        <w:t>（3）硬质铺装工程：浇筑透水混凝土550</w:t>
      </w:r>
      <w:r>
        <w:rPr>
          <w:rFonts w:hint="eastAsia" w:ascii="仿宋_GB2312" w:hAnsi="宋体" w:eastAsia="仿宋_GB2312" w:cs="仿宋_GB2312"/>
          <w:b w:val="0"/>
          <w:sz w:val="32"/>
          <w:szCs w:val="32"/>
          <w:highlight w:val="none"/>
          <w:lang w:val="en-US" w:eastAsia="zh-CN"/>
        </w:rPr>
        <w:t>00</w:t>
      </w:r>
      <w:r>
        <w:rPr>
          <w:rFonts w:hint="eastAsia" w:ascii="仿宋_GB2312" w:hAnsi="宋体" w:eastAsia="仿宋_GB2312" w:cs="仿宋_GB2312"/>
          <w:b w:val="0"/>
          <w:sz w:val="32"/>
          <w:szCs w:val="32"/>
          <w:highlight w:val="none"/>
        </w:rPr>
        <w:t>立方米，摊铺道路沥青24000平方米，铺装人行道484平方米，建成停车位1000平方米</w:t>
      </w:r>
      <w:r>
        <w:rPr>
          <w:rFonts w:hint="eastAsia" w:ascii="仿宋_GB2312" w:hAnsi="宋体" w:eastAsia="仿宋_GB2312" w:cs="仿宋_GB2312"/>
          <w:b w:val="0"/>
          <w:sz w:val="32"/>
          <w:szCs w:val="32"/>
          <w:highlight w:val="none"/>
          <w:lang w:val="en-US" w:eastAsia="zh-CN"/>
        </w:rPr>
        <w:t>,已完成目标值。</w:t>
      </w:r>
    </w:p>
    <w:p>
      <w:pPr>
        <w:pStyle w:val="5"/>
        <w:spacing w:line="560" w:lineRule="exact"/>
        <w:ind w:firstLine="640" w:firstLineChars="200"/>
        <w:rPr>
          <w:rFonts w:hint="eastAsia" w:ascii="仿宋_GB2312" w:hAnsi="宋体" w:eastAsia="仿宋_GB2312" w:cs="仿宋_GB2312"/>
          <w:b w:val="0"/>
          <w:sz w:val="32"/>
          <w:szCs w:val="32"/>
          <w:highlight w:val="none"/>
          <w:lang w:val="en-US" w:eastAsia="zh-CN"/>
        </w:rPr>
      </w:pPr>
      <w:r>
        <w:rPr>
          <w:rFonts w:hint="eastAsia" w:ascii="仿宋_GB2312" w:hAnsi="宋体" w:eastAsia="仿宋_GB2312" w:cs="仿宋_GB2312"/>
          <w:b w:val="0"/>
          <w:sz w:val="32"/>
          <w:szCs w:val="32"/>
          <w:highlight w:val="none"/>
        </w:rPr>
        <w:t>（4）配套设施工程：新建排水沟4000米，新建围墙550米</w:t>
      </w:r>
      <w:r>
        <w:rPr>
          <w:rFonts w:hint="eastAsia" w:ascii="仿宋_GB2312" w:hAnsi="宋体" w:eastAsia="仿宋_GB2312" w:cs="仿宋_GB2312"/>
          <w:b w:val="0"/>
          <w:sz w:val="32"/>
          <w:szCs w:val="32"/>
          <w:highlight w:val="none"/>
          <w:lang w:val="en-US" w:eastAsia="zh-CN"/>
        </w:rPr>
        <w:t>,已完成目标值。</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2.产出质量</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5分，得分5分</w:t>
      </w:r>
      <w:r>
        <w:rPr>
          <w:rFonts w:hint="eastAsia" w:ascii="仿宋_GB2312" w:hAnsi="宋体" w:eastAsia="仿宋_GB2312" w:cs="仿宋_GB2312"/>
          <w:bCs/>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仿宋_GB2312" w:eastAsia="仿宋_GB2312" w:cs="仿宋_GB2312"/>
          <w:b w:val="0"/>
          <w:bCs/>
          <w:sz w:val="32"/>
          <w:szCs w:val="32"/>
        </w:rPr>
        <w:t>市本级公益性公墓建设（城北及城东）项目</w:t>
      </w:r>
      <w:r>
        <w:rPr>
          <w:rFonts w:hint="eastAsia" w:ascii="仿宋_GB2312" w:hAnsi="宋体" w:eastAsia="仿宋_GB2312" w:cs="仿宋_GB2312"/>
          <w:b w:val="0"/>
          <w:sz w:val="32"/>
          <w:szCs w:val="32"/>
        </w:rPr>
        <w:t>经施工单位、监理单位、设计单位、勘察单位、建设单位等单位共同验收，工程质量符合设计要求和施工技术规范的要求，能满足建筑结构安全、使用功能和观感要求，工程质量基本达到设计目标要求。</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3.产出时效</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5分，得分5分</w:t>
      </w:r>
      <w:r>
        <w:rPr>
          <w:rFonts w:hint="eastAsia" w:ascii="仿宋_GB2312" w:hAnsi="宋体" w:eastAsia="仿宋_GB2312" w:cs="仿宋_GB2312"/>
          <w:bCs/>
          <w:sz w:val="32"/>
          <w:szCs w:val="32"/>
          <w:lang w:eastAsia="zh-CN"/>
        </w:rPr>
        <w:t>）</w:t>
      </w:r>
    </w:p>
    <w:p>
      <w:pPr>
        <w:pStyle w:val="5"/>
        <w:spacing w:line="560" w:lineRule="exact"/>
        <w:ind w:firstLine="640" w:firstLineChars="200"/>
        <w:rPr>
          <w:rFonts w:ascii="仿宋_GB2312" w:hAnsi="宋体" w:eastAsia="仿宋_GB2312" w:cs="仿宋_GB2312"/>
          <w:b w:val="0"/>
          <w:sz w:val="32"/>
          <w:szCs w:val="32"/>
        </w:rPr>
      </w:pPr>
      <w:r>
        <w:rPr>
          <w:rFonts w:hint="eastAsia" w:ascii="仿宋_GB2312" w:hAnsi="仿宋_GB2312" w:eastAsia="仿宋_GB2312" w:cs="仿宋_GB2312"/>
          <w:b w:val="0"/>
          <w:bCs/>
          <w:sz w:val="32"/>
          <w:szCs w:val="32"/>
        </w:rPr>
        <w:t>市本级公益性公墓建设（城北及城东）项目</w:t>
      </w:r>
      <w:r>
        <w:rPr>
          <w:rFonts w:hint="eastAsia" w:ascii="仿宋_GB2312" w:hAnsi="宋体" w:eastAsia="仿宋_GB2312" w:cs="仿宋_GB2312"/>
          <w:b w:val="0"/>
          <w:sz w:val="32"/>
          <w:szCs w:val="32"/>
        </w:rPr>
        <w:t>城北地块顺利完成竣工验收，城东地块全面完成辅助用房装修、道路沥青摊铺、广场铺贴、绿化栽植、墓穴安装、设备调试等全部施工内容并完成竣工验收。项目同步高效完成停车位修建、树木种植、双墓穴新建、排水沟砌筑、围墙搭建、民族墓穴打造、人行道铺装及壁葬区新建等各项配套工程，所有建设任务均按期</w:t>
      </w:r>
      <w:r>
        <w:rPr>
          <w:rFonts w:hint="eastAsia" w:ascii="仿宋_GB2312" w:hAnsi="宋体" w:eastAsia="仿宋_GB2312" w:cs="仿宋_GB2312"/>
          <w:b w:val="0"/>
          <w:sz w:val="32"/>
          <w:szCs w:val="32"/>
          <w:lang w:eastAsia="zh-CN"/>
        </w:rPr>
        <w:t>完成</w:t>
      </w:r>
      <w:r>
        <w:rPr>
          <w:rFonts w:hint="eastAsia" w:ascii="仿宋_GB2312" w:hAnsi="宋体" w:eastAsia="仿宋_GB2312" w:cs="仿宋_GB2312"/>
          <w:b w:val="0"/>
          <w:sz w:val="32"/>
          <w:szCs w:val="32"/>
        </w:rPr>
        <w:t>。</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4.产出成本</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10分，得分10分</w:t>
      </w:r>
      <w:r>
        <w:rPr>
          <w:rFonts w:hint="eastAsia" w:ascii="仿宋_GB2312" w:hAnsi="宋体" w:eastAsia="仿宋_GB2312" w:cs="仿宋_GB2312"/>
          <w:bCs/>
          <w:sz w:val="32"/>
          <w:szCs w:val="32"/>
          <w:lang w:eastAsia="zh-CN"/>
        </w:rPr>
        <w:t>）</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市本级公益性公墓建设（城北及城东）项目成本≤2524.81万元，本年度实际支出2524.81万元，</w:t>
      </w:r>
      <w:r>
        <w:rPr>
          <w:rFonts w:ascii="仿宋_GB2312" w:hAnsi="仿宋_GB2312" w:eastAsia="仿宋_GB2312" w:cs="仿宋_GB2312"/>
          <w:bCs/>
          <w:sz w:val="32"/>
          <w:szCs w:val="32"/>
        </w:rPr>
        <w:t>项目预算资金处于预算资金范围内，未超出预算范围，故该</w:t>
      </w:r>
      <w:r>
        <w:rPr>
          <w:rFonts w:hint="eastAsia" w:ascii="仿宋_GB2312" w:hAnsi="仿宋_GB2312" w:eastAsia="仿宋_GB2312" w:cs="仿宋_GB2312"/>
          <w:bCs/>
          <w:sz w:val="32"/>
          <w:szCs w:val="32"/>
        </w:rPr>
        <w:t>项目</w:t>
      </w:r>
      <w:r>
        <w:rPr>
          <w:rFonts w:ascii="仿宋_GB2312" w:hAnsi="仿宋_GB2312" w:eastAsia="仿宋_GB2312" w:cs="仿宋_GB2312"/>
          <w:bCs/>
          <w:sz w:val="32"/>
          <w:szCs w:val="32"/>
        </w:rPr>
        <w:t>预算资金成本控制较好。</w:t>
      </w:r>
    </w:p>
    <w:p>
      <w:pPr>
        <w:spacing w:line="560" w:lineRule="exact"/>
        <w:ind w:firstLine="640" w:firstLineChars="200"/>
        <w:outlineLvl w:val="1"/>
        <w:rPr>
          <w:rFonts w:ascii="黑体" w:hAnsi="黑体" w:eastAsia="黑体" w:cs="黑体"/>
          <w:bCs/>
          <w:sz w:val="32"/>
          <w:szCs w:val="24"/>
        </w:rPr>
      </w:pPr>
      <w:bookmarkStart w:id="32" w:name="_Toc10019"/>
      <w:r>
        <w:rPr>
          <w:rFonts w:hint="eastAsia" w:ascii="黑体" w:hAnsi="黑体" w:eastAsia="黑体" w:cs="黑体"/>
          <w:bCs/>
          <w:sz w:val="32"/>
          <w:szCs w:val="24"/>
        </w:rPr>
        <w:t>（</w:t>
      </w:r>
      <w:r>
        <w:rPr>
          <w:rFonts w:hint="eastAsia" w:ascii="楷体_GB2312" w:hAnsi="楷体_GB2312" w:eastAsia="楷体_GB2312" w:cs="楷体_GB2312"/>
          <w:b/>
          <w:color w:val="000000"/>
          <w:sz w:val="32"/>
          <w:szCs w:val="32"/>
        </w:rPr>
        <w:t>四）项目效益情况</w:t>
      </w:r>
      <w:bookmarkEnd w:id="32"/>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1.社会效益</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30分，得分30分</w:t>
      </w:r>
      <w:r>
        <w:rPr>
          <w:rFonts w:hint="eastAsia" w:ascii="仿宋_GB2312" w:hAnsi="宋体" w:eastAsia="仿宋_GB2312" w:cs="仿宋_GB2312"/>
          <w:bCs/>
          <w:sz w:val="32"/>
          <w:szCs w:val="32"/>
          <w:lang w:eastAsia="zh-CN"/>
        </w:rPr>
        <w:t>）</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满足市民平价墓地的丧葬需求</w:t>
      </w:r>
      <w:r>
        <w:rPr>
          <w:rFonts w:hint="eastAsia" w:ascii="仿宋_GB2312" w:hAnsi="仿宋_GB2312" w:eastAsia="仿宋_GB2312" w:cs="仿宋_GB2312"/>
          <w:bCs/>
          <w:sz w:val="32"/>
          <w:szCs w:val="32"/>
          <w:lang w:eastAsia="zh-CN"/>
        </w:rPr>
        <w:t>（权重</w:t>
      </w:r>
      <w:r>
        <w:rPr>
          <w:rFonts w:hint="eastAsia" w:ascii="仿宋_GB2312" w:hAnsi="仿宋_GB2312" w:eastAsia="仿宋_GB2312" w:cs="仿宋_GB2312"/>
          <w:bCs/>
          <w:sz w:val="32"/>
          <w:szCs w:val="32"/>
          <w:lang w:val="en-US" w:eastAsia="zh-CN"/>
        </w:rPr>
        <w:t>20分，得分20分</w:t>
      </w:r>
      <w:r>
        <w:rPr>
          <w:rFonts w:hint="eastAsia" w:ascii="仿宋_GB2312" w:hAnsi="仿宋_GB2312" w:eastAsia="仿宋_GB2312" w:cs="仿宋_GB2312"/>
          <w:bCs/>
          <w:sz w:val="32"/>
          <w:szCs w:val="32"/>
          <w:lang w:eastAsia="zh-CN"/>
        </w:rPr>
        <w:t>）</w:t>
      </w:r>
    </w:p>
    <w:p>
      <w:pPr>
        <w:pStyle w:val="5"/>
        <w:spacing w:line="560" w:lineRule="exact"/>
        <w:ind w:firstLine="640" w:firstLineChars="200"/>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根据《关于市本级公益性公墓建设项目(城北及城东)初步设计及概算审查的批复》，该项目拟新增墓葬50232座，其中城北设墓葬19193 座</w:t>
      </w:r>
      <w:r>
        <w:rPr>
          <w:rFonts w:hint="eastAsia" w:ascii="仿宋_GB2312" w:hAnsi="仿宋_GB2312" w:eastAsia="仿宋_GB2312" w:cs="仿宋_GB2312"/>
          <w:b w:val="0"/>
          <w:bCs/>
          <w:sz w:val="32"/>
          <w:szCs w:val="32"/>
          <w:highlight w:val="none"/>
        </w:rPr>
        <w:t>（其中</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rPr>
        <w:t>节地生态单墓葬8841座，草坪卧碑双墓葬8762座，壁葬90座，骨灰堂墓穴1500座），城东设墓葬31039座（</w:t>
      </w:r>
      <w:r>
        <w:rPr>
          <w:rFonts w:hint="eastAsia" w:ascii="仿宋_GB2312" w:hAnsi="仿宋_GB2312" w:eastAsia="仿宋_GB2312" w:cs="仿宋_GB2312"/>
          <w:b w:val="0"/>
          <w:bCs/>
          <w:sz w:val="32"/>
          <w:szCs w:val="32"/>
          <w:highlight w:val="none"/>
        </w:rPr>
        <w:t>其中：生</w:t>
      </w:r>
      <w:r>
        <w:rPr>
          <w:rFonts w:hint="eastAsia" w:ascii="仿宋_GB2312" w:hAnsi="仿宋_GB2312" w:eastAsia="仿宋_GB2312" w:cs="仿宋_GB2312"/>
          <w:b w:val="0"/>
          <w:bCs/>
          <w:sz w:val="32"/>
          <w:szCs w:val="32"/>
        </w:rPr>
        <w:t>态卧碑单墓葬6376座，生态卧碑双墓葬22046座，壁葬 640座，骨灰堂墓穴1512座，民族生态立碑葬465座）。截至2025年12月31日，该项目已基本竣工验收，墓穴维护管理费已通过发改委定价，安义墓地已于2025年12月15日开始试运行，能够较好满足南昌市民</w:t>
      </w:r>
      <w:r>
        <w:rPr>
          <w:rFonts w:hint="eastAsia" w:ascii="仿宋_GB2312" w:hAnsi="仿宋_GB2312" w:eastAsia="仿宋_GB2312" w:cs="仿宋_GB2312"/>
          <w:b w:val="0"/>
          <w:bCs/>
          <w:sz w:val="32"/>
          <w:szCs w:val="32"/>
          <w:lang w:eastAsia="zh-CN"/>
        </w:rPr>
        <w:t>平价</w:t>
      </w:r>
      <w:r>
        <w:rPr>
          <w:rFonts w:hint="eastAsia" w:ascii="仿宋_GB2312" w:hAnsi="仿宋_GB2312" w:eastAsia="仿宋_GB2312" w:cs="仿宋_GB2312"/>
          <w:b w:val="0"/>
          <w:bCs/>
          <w:sz w:val="32"/>
          <w:szCs w:val="32"/>
        </w:rPr>
        <w:t>墓地的丧葬需求。</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rPr>
        <w:t>2.满意度</w:t>
      </w:r>
      <w:r>
        <w:rPr>
          <w:rFonts w:hint="eastAsia" w:ascii="仿宋_GB2312" w:hAnsi="宋体" w:eastAsia="仿宋_GB2312" w:cs="仿宋_GB2312"/>
          <w:bCs/>
          <w:sz w:val="32"/>
          <w:szCs w:val="32"/>
          <w:lang w:eastAsia="zh-CN"/>
        </w:rPr>
        <w:t>（权重</w:t>
      </w:r>
      <w:r>
        <w:rPr>
          <w:rFonts w:hint="eastAsia" w:ascii="仿宋_GB2312" w:hAnsi="宋体" w:eastAsia="仿宋_GB2312" w:cs="仿宋_GB2312"/>
          <w:bCs/>
          <w:sz w:val="32"/>
          <w:szCs w:val="32"/>
          <w:lang w:val="en-US" w:eastAsia="zh-CN"/>
        </w:rPr>
        <w:t>10分，得分10分</w:t>
      </w:r>
      <w:r>
        <w:rPr>
          <w:rFonts w:hint="eastAsia" w:ascii="仿宋_GB2312" w:hAnsi="宋体" w:eastAsia="仿宋_GB2312" w:cs="仿宋_GB2312"/>
          <w:bCs/>
          <w:sz w:val="32"/>
          <w:szCs w:val="32"/>
          <w:lang w:eastAsia="zh-CN"/>
        </w:rPr>
        <w:t>）</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问卷发放的对象为农民工满意度，并以加权得分作为评价标准，南昌市殡仪服务中心通过电话短信回访等方式，全方位了解农民工对项目建设单位管理制度、配合度、资金支付及时性、项目推进进度及当前工作强度的满意度。本次调查共收回有效问卷20份，服务满意度指标达98.40%。</w:t>
      </w:r>
    </w:p>
    <w:p>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南昌市殡仪服务中心项目调查问卷共设置5个满意度问题，根据公式∑（五星数*5+四星数*4+三星数*3+二星数*2+一星数*1）/（20*5）*100%，对5个问题满意度进行计算再加权平均后得出综合满意度为98.40%，根据评分标准，该指标得满分。具体调查数据汇总如下：</w:t>
      </w:r>
    </w:p>
    <w:p>
      <w:pPr>
        <w:spacing w:line="560" w:lineRule="exact"/>
        <w:jc w:val="center"/>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项目建设相关农民工满意度调查情况表</w:t>
      </w:r>
    </w:p>
    <w:tbl>
      <w:tblPr>
        <w:tblStyle w:val="13"/>
        <w:tblW w:w="8640" w:type="dxa"/>
        <w:jc w:val="center"/>
        <w:tblInd w:w="0" w:type="dxa"/>
        <w:tblLayout w:type="fixed"/>
        <w:tblCellMar>
          <w:top w:w="0" w:type="dxa"/>
          <w:left w:w="108" w:type="dxa"/>
          <w:bottom w:w="0" w:type="dxa"/>
          <w:right w:w="108" w:type="dxa"/>
        </w:tblCellMar>
      </w:tblPr>
      <w:tblGrid>
        <w:gridCol w:w="503"/>
        <w:gridCol w:w="2625"/>
        <w:gridCol w:w="885"/>
        <w:gridCol w:w="945"/>
        <w:gridCol w:w="915"/>
        <w:gridCol w:w="825"/>
        <w:gridCol w:w="840"/>
        <w:gridCol w:w="1102"/>
      </w:tblGrid>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4F81BD"/>
            <w:noWrap/>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序号</w:t>
            </w:r>
          </w:p>
        </w:tc>
        <w:tc>
          <w:tcPr>
            <w:tcW w:w="262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问题</w:t>
            </w:r>
          </w:p>
        </w:tc>
        <w:tc>
          <w:tcPr>
            <w:tcW w:w="88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非常</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94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比较</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91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一般</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2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hint="eastAsia" w:ascii="宋体" w:hAnsi="宋体" w:eastAsia="宋体" w:cs="宋体"/>
                <w:b/>
                <w:bCs/>
                <w:kern w:val="0"/>
                <w:sz w:val="20"/>
                <w:lang w:eastAsia="zh-CN"/>
              </w:rPr>
            </w:pPr>
            <w:r>
              <w:rPr>
                <w:rFonts w:hint="eastAsia" w:ascii="宋体" w:hAnsi="宋体" w:cs="宋体"/>
                <w:b/>
                <w:bCs/>
                <w:kern w:val="0"/>
                <w:sz w:val="20"/>
              </w:rPr>
              <w:t>比较</w:t>
            </w:r>
            <w:r>
              <w:rPr>
                <w:rFonts w:hint="eastAsia" w:ascii="宋体" w:hAnsi="宋体" w:cs="宋体"/>
                <w:b/>
                <w:bCs/>
                <w:kern w:val="0"/>
                <w:sz w:val="20"/>
                <w:lang w:eastAsia="zh-CN"/>
              </w:rPr>
              <w:t>不</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40"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hint="eastAsia" w:ascii="宋体" w:hAnsi="宋体" w:eastAsia="宋体" w:cs="宋体"/>
                <w:b/>
                <w:bCs/>
                <w:kern w:val="0"/>
                <w:sz w:val="20"/>
                <w:lang w:eastAsia="zh-CN"/>
              </w:rPr>
            </w:pPr>
            <w:r>
              <w:rPr>
                <w:rFonts w:hint="eastAsia" w:ascii="宋体" w:hAnsi="宋体" w:cs="宋体"/>
                <w:b/>
                <w:bCs/>
                <w:kern w:val="0"/>
                <w:sz w:val="20"/>
              </w:rPr>
              <w:t>非常</w:t>
            </w:r>
            <w:r>
              <w:rPr>
                <w:rFonts w:hint="eastAsia" w:ascii="宋体" w:hAnsi="宋体" w:cs="宋体"/>
                <w:b/>
                <w:bCs/>
                <w:kern w:val="0"/>
                <w:sz w:val="20"/>
                <w:lang w:eastAsia="zh-CN"/>
              </w:rPr>
              <w:t>不</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1102"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满意度</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1</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您对项目建设单位管理制度是否满意？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90.00%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98.00%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2</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您对项目建设单位配合度是否满意？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95.00%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5.00%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99.00%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3</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您对项目建设单位资金支付及时性是否满意？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95.00%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5.00%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99.00%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4</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您对项目建设单位推进进度是否满意？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90.00%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98.00%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5</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您对目前的工作强度是否满意？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90.00%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98.00%</w:t>
            </w:r>
          </w:p>
        </w:tc>
      </w:tr>
      <w:tr>
        <w:tblPrEx>
          <w:tblLayout w:type="fixed"/>
          <w:tblCellMar>
            <w:top w:w="0" w:type="dxa"/>
            <w:left w:w="108" w:type="dxa"/>
            <w:bottom w:w="0" w:type="dxa"/>
            <w:right w:w="108" w:type="dxa"/>
          </w:tblCellMar>
        </w:tblPrEx>
        <w:trPr>
          <w:trHeight w:val="900" w:hRule="atLeast"/>
          <w:jc w:val="center"/>
        </w:trPr>
        <w:tc>
          <w:tcPr>
            <w:tcW w:w="31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 w:val="22"/>
                <w:szCs w:val="22"/>
              </w:rPr>
            </w:pPr>
            <w:bookmarkStart w:id="33" w:name="_Toc7248"/>
            <w:r>
              <w:rPr>
                <w:rFonts w:hint="eastAsia" w:ascii="宋体" w:hAnsi="宋体" w:cs="宋体"/>
                <w:b/>
                <w:bCs/>
                <w:color w:val="000000"/>
                <w:sz w:val="22"/>
                <w:szCs w:val="22"/>
              </w:rPr>
              <w:t>合计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 w:val="22"/>
                <w:szCs w:val="22"/>
              </w:rPr>
            </w:pPr>
            <w:r>
              <w:rPr>
                <w:rFonts w:hint="eastAsia" w:ascii="宋体" w:hAnsi="宋体" w:cs="宋体"/>
                <w:b/>
                <w:bCs/>
                <w:color w:val="000000"/>
                <w:sz w:val="22"/>
                <w:szCs w:val="22"/>
              </w:rPr>
              <w:t>92.00%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8.00%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98.40%</w:t>
            </w:r>
          </w:p>
        </w:tc>
      </w:tr>
    </w:tbl>
    <w:p>
      <w:pPr>
        <w:ind w:firstLine="640" w:firstLineChars="200"/>
        <w:rPr>
          <w:rFonts w:ascii="黑体" w:hAnsi="黑体" w:eastAsia="黑体"/>
          <w:color w:val="000000"/>
          <w:sz w:val="32"/>
          <w:szCs w:val="32"/>
        </w:rPr>
      </w:pPr>
      <w:r>
        <w:rPr>
          <w:rFonts w:hint="eastAsia" w:ascii="黑体" w:hAnsi="黑体" w:eastAsia="黑体"/>
          <w:color w:val="000000"/>
          <w:sz w:val="32"/>
          <w:szCs w:val="32"/>
        </w:rPr>
        <w:t>五、主要经验及做法、存在的问题及原因分析</w:t>
      </w:r>
      <w:bookmarkEnd w:id="33"/>
      <w:bookmarkStart w:id="34" w:name="_Toc22090"/>
      <w:bookmarkStart w:id="35" w:name="_Toc21115"/>
      <w:bookmarkStart w:id="36" w:name="_Toc13778"/>
      <w:bookmarkStart w:id="37" w:name="_Toc16912"/>
      <w:bookmarkStart w:id="38" w:name="_Toc24491"/>
    </w:p>
    <w:p>
      <w:pPr>
        <w:spacing w:line="560" w:lineRule="exact"/>
        <w:ind w:firstLine="641" w:firstLineChars="200"/>
        <w:outlineLvl w:val="0"/>
        <w:rPr>
          <w:rFonts w:ascii="仿宋_GB2312" w:hAnsi="仿宋_GB2312" w:eastAsia="仿宋_GB2312" w:cs="仿宋_GB2312"/>
          <w:bCs/>
          <w:sz w:val="32"/>
          <w:szCs w:val="32"/>
        </w:rPr>
      </w:pPr>
      <w:r>
        <w:rPr>
          <w:rFonts w:hint="eastAsia" w:ascii="楷体_GB2312" w:hAnsi="楷体_GB2312" w:eastAsia="楷体_GB2312" w:cs="楷体_GB2312"/>
          <w:b/>
          <w:color w:val="000000"/>
          <w:sz w:val="32"/>
          <w:szCs w:val="32"/>
        </w:rPr>
        <w:t>（一）主要经验及做法</w:t>
      </w:r>
      <w:bookmarkEnd w:id="34"/>
      <w:bookmarkEnd w:id="35"/>
      <w:bookmarkEnd w:id="36"/>
      <w:bookmarkEnd w:id="37"/>
      <w:bookmarkEnd w:id="38"/>
      <w:bookmarkStart w:id="39" w:name="_Toc25820"/>
    </w:p>
    <w:p>
      <w:pPr>
        <w:spacing w:line="560" w:lineRule="exact"/>
        <w:ind w:firstLine="640" w:firstLineChars="200"/>
        <w:rPr>
          <w:rFonts w:ascii="仿宋_GB2312" w:hAnsi="仿宋_GB2312" w:eastAsia="仿宋_GB2312" w:cs="仿宋_GB2312"/>
          <w:bCs/>
          <w:sz w:val="32"/>
          <w:szCs w:val="32"/>
        </w:rPr>
      </w:pPr>
      <w:r>
        <w:rPr>
          <w:rFonts w:ascii="仿宋_GB2312" w:hAnsi="仿宋_GB2312" w:eastAsia="仿宋_GB2312" w:cs="仿宋_GB2312"/>
          <w:bCs/>
          <w:sz w:val="32"/>
          <w:szCs w:val="32"/>
        </w:rPr>
        <w:t>本次项目推进过程中，始终坚持统筹规划、严控质量、高效推进的工作思路，多措并举保障各地块建设及配套工程按期保质完成，核心经验及做法如下：</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 统筹规划分板块拆解任务，明确各工序节点与责任人，按墓穴、绿化、硬质铺装、配套设施分类推进，确保各工程量按期</w:t>
      </w:r>
      <w:r>
        <w:rPr>
          <w:rFonts w:hint="eastAsia" w:ascii="仿宋_GB2312" w:hAnsi="仿宋_GB2312" w:eastAsia="仿宋_GB2312" w:cs="仿宋_GB2312"/>
          <w:bCs/>
          <w:sz w:val="32"/>
          <w:szCs w:val="32"/>
          <w:lang w:eastAsia="zh-CN"/>
        </w:rPr>
        <w:t>完成</w:t>
      </w:r>
      <w:r>
        <w:rPr>
          <w:rFonts w:hint="eastAsia" w:ascii="仿宋_GB2312" w:hAnsi="仿宋_GB2312" w:eastAsia="仿宋_GB2312" w:cs="仿宋_GB2312"/>
          <w:bCs/>
          <w:sz w:val="32"/>
          <w:szCs w:val="32"/>
        </w:rPr>
        <w:t>。</w:t>
      </w:r>
    </w:p>
    <w:p>
      <w:pPr>
        <w:spacing w:line="560" w:lineRule="exact"/>
        <w:ind w:firstLine="640" w:firstLineChars="200"/>
        <w:rPr>
          <w:rFonts w:ascii="仿宋_GB2312" w:hAnsi="仿宋_GB2312" w:eastAsia="仿宋_GB2312" w:cs="仿宋_GB2312"/>
          <w:bCs/>
          <w:sz w:val="32"/>
          <w:szCs w:val="32"/>
        </w:rPr>
      </w:pPr>
      <w:r>
        <w:rPr>
          <w:rFonts w:ascii="仿宋_GB2312" w:hAnsi="仿宋_GB2312" w:eastAsia="仿宋_GB2312" w:cs="仿宋_GB2312"/>
          <w:bCs/>
          <w:sz w:val="32"/>
          <w:szCs w:val="32"/>
        </w:rPr>
        <w:t>2. 严把施工质量，</w:t>
      </w:r>
      <w:r>
        <w:rPr>
          <w:rFonts w:hint="eastAsia" w:ascii="仿宋_GB2312" w:hAnsi="仿宋_GB2312" w:eastAsia="仿宋_GB2312" w:cs="仿宋_GB2312"/>
          <w:bCs/>
          <w:sz w:val="32"/>
          <w:szCs w:val="32"/>
          <w:lang w:eastAsia="zh-CN"/>
        </w:rPr>
        <w:t>加强</w:t>
      </w:r>
      <w:r>
        <w:rPr>
          <w:rFonts w:ascii="仿宋_GB2312" w:hAnsi="仿宋_GB2312" w:eastAsia="仿宋_GB2312" w:cs="仿宋_GB2312"/>
          <w:bCs/>
          <w:sz w:val="32"/>
          <w:szCs w:val="32"/>
        </w:rPr>
        <w:t>过程</w:t>
      </w:r>
      <w:r>
        <w:rPr>
          <w:rFonts w:hint="eastAsia" w:ascii="仿宋_GB2312" w:hAnsi="仿宋_GB2312" w:eastAsia="仿宋_GB2312" w:cs="仿宋_GB2312"/>
          <w:bCs/>
          <w:sz w:val="32"/>
          <w:szCs w:val="32"/>
          <w:lang w:eastAsia="zh-CN"/>
        </w:rPr>
        <w:t>管理</w:t>
      </w:r>
      <w:r>
        <w:rPr>
          <w:rFonts w:ascii="仿宋_GB2312" w:hAnsi="仿宋_GB2312" w:eastAsia="仿宋_GB2312" w:cs="仿宋_GB2312"/>
          <w:bCs/>
          <w:sz w:val="32"/>
          <w:szCs w:val="32"/>
        </w:rPr>
        <w:t>。严控墓穴建设、绿化种植、道路摊铺等关键工序质量，保障各类建设标准达标</w:t>
      </w:r>
      <w:r>
        <w:rPr>
          <w:rFonts w:hint="eastAsia" w:ascii="仿宋_GB2312" w:hAnsi="仿宋_GB2312" w:eastAsia="仿宋_GB2312" w:cs="仿宋_GB2312"/>
          <w:bCs/>
          <w:sz w:val="32"/>
          <w:szCs w:val="32"/>
        </w:rPr>
        <w:t>。</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w:t>
      </w:r>
      <w:r>
        <w:rPr>
          <w:rFonts w:ascii="仿宋_GB2312" w:hAnsi="仿宋_GB2312" w:eastAsia="仿宋_GB2312" w:cs="仿宋_GB2312"/>
          <w:bCs/>
          <w:sz w:val="32"/>
          <w:szCs w:val="32"/>
        </w:rPr>
        <w:t>强化节点管控，确保按期完工。建立工期倒排机制，细化每日、每周施工任务，实时跟踪工程进度，及时协调解决施工中的堵点、难点问题，保障所有建设内容按计划高效完成、如期交付。</w:t>
      </w:r>
    </w:p>
    <w:p>
      <w:pPr>
        <w:pStyle w:val="3"/>
        <w:spacing w:line="560" w:lineRule="exact"/>
        <w:ind w:firstLine="641" w:firstLineChars="200"/>
        <w:rPr>
          <w:rFonts w:ascii="仿宋_GB2312" w:hAnsi="宋体" w:eastAsia="仿宋_GB2312" w:cs="仿宋_GB2312"/>
          <w:b w:val="0"/>
          <w:szCs w:val="32"/>
          <w:highlight w:val="yellow"/>
        </w:rPr>
      </w:pPr>
      <w:r>
        <w:rPr>
          <w:rFonts w:hint="eastAsia" w:ascii="楷体_GB2312" w:hAnsi="楷体_GB2312" w:eastAsia="楷体_GB2312" w:cs="楷体_GB2312"/>
          <w:color w:val="000000"/>
          <w:szCs w:val="32"/>
        </w:rPr>
        <w:t>（二）存在的问题及原因说明</w:t>
      </w:r>
      <w:bookmarkEnd w:id="39"/>
    </w:p>
    <w:p>
      <w:pPr>
        <w:pStyle w:val="5"/>
        <w:spacing w:line="560" w:lineRule="exact"/>
        <w:ind w:firstLine="641" w:firstLineChars="200"/>
        <w:rPr>
          <w:rFonts w:hint="default" w:ascii="仿宋_GB2312" w:hAnsi="宋体" w:eastAsia="仿宋_GB2312" w:cs="仿宋_GB2312"/>
          <w:bCs/>
          <w:sz w:val="32"/>
          <w:szCs w:val="32"/>
          <w:highlight w:val="none"/>
          <w:lang w:val="en-US" w:eastAsia="zh-CN"/>
        </w:rPr>
      </w:pPr>
      <w:r>
        <w:rPr>
          <w:rFonts w:hint="eastAsia" w:ascii="仿宋_GB2312" w:hAnsi="宋体" w:eastAsia="仿宋_GB2312" w:cs="仿宋_GB2312"/>
          <w:bCs/>
          <w:sz w:val="32"/>
          <w:szCs w:val="32"/>
          <w:highlight w:val="none"/>
          <w:lang w:val="en-US" w:eastAsia="zh-CN"/>
        </w:rPr>
        <w:t>1.资金到位率不足</w:t>
      </w:r>
    </w:p>
    <w:p>
      <w:pPr>
        <w:pStyle w:val="5"/>
        <w:spacing w:line="560" w:lineRule="exact"/>
        <w:ind w:firstLine="640" w:firstLineChars="200"/>
        <w:rPr>
          <w:rFonts w:hint="default" w:ascii="仿宋_GB2312" w:hAnsi="宋体" w:eastAsia="仿宋_GB2312" w:cs="仿宋_GB2312"/>
          <w:b w:val="0"/>
          <w:bCs w:val="0"/>
          <w:sz w:val="32"/>
          <w:szCs w:val="32"/>
          <w:highlight w:val="none"/>
          <w:lang w:val="en-US" w:eastAsia="zh-CN"/>
        </w:rPr>
      </w:pPr>
      <w:r>
        <w:rPr>
          <w:rFonts w:hint="eastAsia" w:ascii="仿宋_GB2312" w:hAnsi="宋体" w:eastAsia="仿宋_GB2312" w:cs="仿宋_GB2312"/>
          <w:b w:val="0"/>
          <w:bCs w:val="0"/>
          <w:sz w:val="32"/>
          <w:szCs w:val="32"/>
          <w:highlight w:val="none"/>
          <w:lang w:val="en-US" w:eastAsia="zh-CN"/>
        </w:rPr>
        <w:t>该项目根据洪府办字〔2025〕443号文已获得批复同意申请资金1700万元。年底申拨资金时因部分二类费用涉及前业主，情况复杂导致审核周期较长，最终部分资金未申请到位。</w:t>
      </w:r>
    </w:p>
    <w:p>
      <w:pPr>
        <w:pStyle w:val="5"/>
        <w:spacing w:line="560" w:lineRule="exact"/>
        <w:ind w:firstLine="641" w:firstLineChars="200"/>
        <w:rPr>
          <w:rFonts w:ascii="仿宋_GB2312" w:hAnsi="宋体" w:eastAsia="仿宋_GB2312" w:cs="仿宋_GB2312"/>
          <w:bCs/>
          <w:sz w:val="32"/>
          <w:szCs w:val="32"/>
        </w:rPr>
      </w:pPr>
      <w:r>
        <w:rPr>
          <w:rFonts w:hint="eastAsia" w:ascii="仿宋_GB2312" w:hAnsi="宋体" w:eastAsia="仿宋_GB2312" w:cs="仿宋_GB2312"/>
          <w:bCs/>
          <w:sz w:val="32"/>
          <w:szCs w:val="32"/>
          <w:lang w:val="en-US" w:eastAsia="zh-CN"/>
        </w:rPr>
        <w:t>2.</w:t>
      </w:r>
      <w:r>
        <w:rPr>
          <w:rFonts w:hint="eastAsia" w:ascii="仿宋_GB2312" w:hAnsi="宋体" w:eastAsia="仿宋_GB2312" w:cs="仿宋_GB2312"/>
          <w:bCs/>
          <w:sz w:val="32"/>
          <w:szCs w:val="32"/>
        </w:rPr>
        <w:t>绩效目标设置不合理</w:t>
      </w:r>
    </w:p>
    <w:p>
      <w:pPr>
        <w:pStyle w:val="5"/>
        <w:spacing w:line="560" w:lineRule="exact"/>
        <w:ind w:firstLine="640" w:firstLineChars="200"/>
        <w:rPr>
          <w:rFonts w:hint="eastAsia" w:ascii="仿宋_GB2312" w:hAnsi="宋体" w:eastAsia="仿宋_GB2312" w:cs="仿宋_GB2312"/>
          <w:b w:val="0"/>
          <w:sz w:val="32"/>
          <w:szCs w:val="32"/>
          <w:highlight w:val="red"/>
        </w:rPr>
      </w:pPr>
      <w:r>
        <w:rPr>
          <w:rFonts w:hint="eastAsia" w:ascii="仿宋_GB2312" w:hAnsi="宋体" w:eastAsia="仿宋_GB2312" w:cs="仿宋_GB2312"/>
          <w:b w:val="0"/>
          <w:sz w:val="32"/>
          <w:szCs w:val="32"/>
          <w:highlight w:val="none"/>
        </w:rPr>
        <w:t>该项目设有绩效目标，且绩效目标与项目实施内容高度相关，绩效目标与预算资金额度也相匹配。但其效益指标设置较为笼统，</w:t>
      </w:r>
      <w:r>
        <w:rPr>
          <w:rFonts w:ascii="仿宋_GB2312" w:hAnsi="宋体" w:eastAsia="仿宋_GB2312" w:cs="仿宋_GB2312"/>
          <w:b w:val="0"/>
          <w:sz w:val="32"/>
          <w:szCs w:val="32"/>
          <w:highlight w:val="none"/>
        </w:rPr>
        <w:t>将“基本满足市民平价墓地丧葬需求”设定为定性目标，未进行量化拆解，无具体可衡量的指标支</w:t>
      </w:r>
      <w:r>
        <w:rPr>
          <w:rFonts w:hint="eastAsia" w:ascii="仿宋_GB2312" w:hAnsi="宋体" w:eastAsia="仿宋_GB2312" w:cs="仿宋_GB2312"/>
          <w:b w:val="0"/>
          <w:sz w:val="32"/>
          <w:szCs w:val="32"/>
          <w:highlight w:val="none"/>
        </w:rPr>
        <w:t>撑，无法精准衡量需求满足的实际程度，也难以对目标完成情况进行客观考核与成效评估。</w:t>
      </w:r>
    </w:p>
    <w:p>
      <w:pPr>
        <w:spacing w:line="560" w:lineRule="exact"/>
        <w:ind w:firstLine="640" w:firstLineChars="200"/>
        <w:outlineLvl w:val="0"/>
        <w:rPr>
          <w:rFonts w:ascii="黑体" w:hAnsi="黑体" w:eastAsia="黑体"/>
          <w:color w:val="000000"/>
          <w:sz w:val="32"/>
          <w:szCs w:val="32"/>
        </w:rPr>
      </w:pPr>
      <w:bookmarkStart w:id="40" w:name="_Toc28921"/>
      <w:r>
        <w:rPr>
          <w:rFonts w:hint="eastAsia" w:ascii="黑体" w:hAnsi="黑体" w:eastAsia="黑体"/>
          <w:color w:val="000000"/>
          <w:sz w:val="32"/>
          <w:szCs w:val="32"/>
        </w:rPr>
        <w:t>六、有关建议</w:t>
      </w:r>
      <w:bookmarkEnd w:id="40"/>
    </w:p>
    <w:p>
      <w:pPr>
        <w:spacing w:line="560" w:lineRule="exact"/>
        <w:ind w:firstLine="640" w:firstLineChars="200"/>
        <w:outlineLvl w:val="0"/>
        <w:rPr>
          <w:rFonts w:hint="eastAsia" w:ascii="仿宋_GB2312" w:hAnsi="宋体" w:eastAsia="仿宋_GB2312" w:cs="仿宋_GB2312"/>
          <w:sz w:val="32"/>
          <w:szCs w:val="32"/>
          <w:highlight w:val="none"/>
          <w:lang w:eastAsia="zh-CN"/>
        </w:rPr>
      </w:pPr>
      <w:r>
        <w:rPr>
          <w:rFonts w:hint="eastAsia" w:ascii="仿宋_GB2312" w:hAnsi="宋体" w:eastAsia="仿宋_GB2312" w:cs="仿宋_GB2312"/>
          <w:sz w:val="32"/>
          <w:szCs w:val="32"/>
        </w:rPr>
        <w:t>为促进项目实施，发挥绩效目标的指导性作用，同时方便项目实施者及其他相关人员对项目目标实现程度作出客观评价，项目单位应做到：一是项目绩效目标的设置应当在与项目密切相关的前提下全面反映项目的产出及效益情况，为项目开展设置相应的数量指标、质量指标、时效指标、成本指标、经济效益指标、社会效益指标等。二是绩效目标三级指标和指标值的设定应做到明</w:t>
      </w:r>
      <w:r>
        <w:rPr>
          <w:rFonts w:hint="eastAsia" w:ascii="仿宋_GB2312" w:hAnsi="宋体" w:eastAsia="仿宋_GB2312" w:cs="仿宋_GB2312"/>
          <w:sz w:val="32"/>
          <w:szCs w:val="32"/>
          <w:highlight w:val="none"/>
        </w:rPr>
        <w:t>确、具体、可衡量，同时确保相关数据及资料的可获得性。</w:t>
      </w:r>
      <w:r>
        <w:rPr>
          <w:rFonts w:hint="eastAsia" w:ascii="仿宋_GB2312" w:hAnsi="宋体" w:eastAsia="仿宋_GB2312" w:cs="仿宋_GB2312"/>
          <w:sz w:val="32"/>
          <w:szCs w:val="32"/>
          <w:highlight w:val="none"/>
          <w:lang w:eastAsia="zh-CN"/>
        </w:rPr>
        <w:t>三是项目小组应提前谋划项目进展，加快验收进度，及时报送结算资料，以保障项目资金的及时到位。</w:t>
      </w:r>
    </w:p>
    <w:p>
      <w:pPr>
        <w:spacing w:line="560" w:lineRule="exact"/>
        <w:ind w:firstLine="640" w:firstLineChars="200"/>
        <w:outlineLvl w:val="0"/>
        <w:rPr>
          <w:rFonts w:ascii="黑体" w:hAnsi="黑体" w:eastAsia="黑体"/>
          <w:color w:val="000000"/>
          <w:sz w:val="32"/>
          <w:szCs w:val="32"/>
          <w:highlight w:val="none"/>
        </w:rPr>
      </w:pPr>
      <w:bookmarkStart w:id="41" w:name="_Toc7463"/>
      <w:r>
        <w:rPr>
          <w:rFonts w:hint="eastAsia" w:ascii="黑体" w:hAnsi="黑体" w:eastAsia="黑体"/>
          <w:color w:val="000000"/>
          <w:sz w:val="32"/>
          <w:szCs w:val="32"/>
          <w:highlight w:val="none"/>
        </w:rPr>
        <w:t>七、其他需要说明的问题</w:t>
      </w:r>
      <w:bookmarkEnd w:id="41"/>
    </w:p>
    <w:p>
      <w:pPr>
        <w:pStyle w:val="5"/>
        <w:spacing w:line="560" w:lineRule="exact"/>
        <w:ind w:firstLine="640" w:firstLineChars="200"/>
        <w:outlineLvl w:val="0"/>
        <w:rPr>
          <w:rFonts w:ascii="仿宋_GB2312" w:hAnsi="宋体" w:eastAsia="仿宋_GB2312" w:cs="仿宋_GB2312"/>
          <w:b w:val="0"/>
          <w:sz w:val="32"/>
          <w:szCs w:val="32"/>
          <w:highlight w:val="none"/>
        </w:rPr>
      </w:pPr>
      <w:bookmarkStart w:id="42" w:name="_Toc4737"/>
      <w:bookmarkStart w:id="43" w:name="_Toc26490"/>
      <w:r>
        <w:rPr>
          <w:rFonts w:hint="eastAsia" w:ascii="仿宋_GB2312" w:hAnsi="宋体" w:eastAsia="仿宋_GB2312" w:cs="仿宋_GB2312"/>
          <w:b w:val="0"/>
          <w:sz w:val="32"/>
          <w:szCs w:val="32"/>
          <w:highlight w:val="none"/>
        </w:rPr>
        <w:t>无。</w:t>
      </w:r>
    </w:p>
    <w:p>
      <w:pPr>
        <w:pStyle w:val="5"/>
        <w:spacing w:line="560" w:lineRule="exact"/>
        <w:ind w:firstLine="640" w:firstLineChars="200"/>
        <w:outlineLvl w:val="0"/>
        <w:rPr>
          <w:rFonts w:ascii="仿宋_GB2312" w:hAnsi="仿宋_GB2312" w:eastAsia="仿宋_GB2312" w:cs="仿宋_GB2312"/>
          <w:b w:val="0"/>
          <w:sz w:val="32"/>
          <w:szCs w:val="32"/>
          <w:highlight w:val="none"/>
        </w:rPr>
      </w:pPr>
      <w:r>
        <w:rPr>
          <w:rFonts w:hint="eastAsia" w:ascii="黑体" w:hAnsi="黑体" w:eastAsia="黑体" w:cs="黑体"/>
          <w:b w:val="0"/>
          <w:kern w:val="44"/>
          <w:sz w:val="32"/>
          <w:szCs w:val="32"/>
          <w:highlight w:val="none"/>
        </w:rPr>
        <w:t>八、附件</w:t>
      </w:r>
      <w:bookmarkEnd w:id="42"/>
      <w:bookmarkEnd w:id="43"/>
    </w:p>
    <w:p>
      <w:pPr>
        <w:spacing w:line="560" w:lineRule="exact"/>
        <w:ind w:firstLine="640" w:firstLineChars="200"/>
        <w:jc w:val="left"/>
        <w:rPr>
          <w:rFonts w:hint="eastAsia" w:ascii="仿宋_GB2312" w:hAnsi="仿宋_GB2312" w:eastAsia="仿宋_GB2312" w:cs="仿宋_GB2312"/>
          <w:bCs/>
          <w:sz w:val="32"/>
          <w:szCs w:val="32"/>
          <w:highlight w:val="none"/>
        </w:rPr>
      </w:pPr>
      <w:bookmarkStart w:id="44" w:name="_Toc26181"/>
      <w:r>
        <w:rPr>
          <w:rFonts w:hint="eastAsia" w:ascii="仿宋_GB2312" w:hAnsi="仿宋_GB2312" w:eastAsia="仿宋_GB2312" w:cs="仿宋_GB2312"/>
          <w:bCs/>
          <w:sz w:val="32"/>
          <w:szCs w:val="32"/>
          <w:highlight w:val="none"/>
        </w:rPr>
        <w:t>附件</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：《市本级公益性公墓建设（城北及城东）项目评价指标体系及评分表》</w:t>
      </w:r>
      <w:bookmarkEnd w:id="44"/>
    </w:p>
    <w:p>
      <w:pPr>
        <w:spacing w:line="560" w:lineRule="exact"/>
        <w:ind w:firstLine="640" w:firstLineChars="200"/>
        <w:jc w:val="left"/>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rPr>
        <w:t>附件</w:t>
      </w: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Cs/>
          <w:sz w:val="32"/>
          <w:szCs w:val="32"/>
          <w:highlight w:val="none"/>
          <w:lang w:eastAsia="zh-CN"/>
        </w:rPr>
        <w:t>关于市本级公益性公墓项目项目建设管理满意度调查情况表</w:t>
      </w:r>
    </w:p>
    <w:p>
      <w:pPr>
        <w:spacing w:line="560" w:lineRule="exact"/>
        <w:ind w:firstLine="640" w:firstLineChars="200"/>
        <w:jc w:val="left"/>
        <w:rPr>
          <w:rFonts w:hint="eastAsia" w:ascii="仿宋_GB2312" w:hAnsi="仿宋_GB2312" w:eastAsia="仿宋_GB2312" w:cs="仿宋_GB2312"/>
          <w:bCs/>
          <w:sz w:val="32"/>
          <w:szCs w:val="32"/>
          <w:highlight w:val="none"/>
        </w:rPr>
      </w:pPr>
    </w:p>
    <w:p>
      <w:pPr>
        <w:rPr>
          <w:rFonts w:hint="eastAsia"/>
          <w:b/>
          <w:bCs/>
          <w:sz w:val="32"/>
          <w:szCs w:val="28"/>
          <w:highlight w:val="none"/>
        </w:rPr>
      </w:pPr>
    </w:p>
    <w:p>
      <w:pPr>
        <w:rPr>
          <w:rFonts w:hint="eastAsia"/>
          <w:b/>
          <w:bCs/>
          <w:sz w:val="32"/>
          <w:szCs w:val="28"/>
          <w:highlight w:val="none"/>
        </w:rPr>
      </w:pPr>
    </w:p>
    <w:p>
      <w:pPr>
        <w:rPr>
          <w:rFonts w:hint="eastAsia"/>
          <w:b/>
          <w:bCs/>
          <w:sz w:val="32"/>
          <w:szCs w:val="28"/>
          <w:highlight w:val="none"/>
        </w:rPr>
        <w:sectPr>
          <w:footerReference r:id="rId5" w:type="default"/>
          <w:type w:val="continuous"/>
          <w:pgSz w:w="11906" w:h="16838"/>
          <w:pgMar w:top="1440" w:right="1803" w:bottom="1440" w:left="1803" w:header="851" w:footer="992" w:gutter="0"/>
          <w:cols w:space="425" w:num="1"/>
          <w:docGrid w:type="lines" w:linePitch="312" w:charSpace="0"/>
        </w:sectPr>
      </w:pPr>
    </w:p>
    <w:p>
      <w:pPr>
        <w:rPr>
          <w:b/>
          <w:bCs/>
          <w:sz w:val="32"/>
          <w:szCs w:val="28"/>
        </w:rPr>
      </w:pPr>
      <w:r>
        <w:rPr>
          <w:rFonts w:hint="eastAsia"/>
          <w:b/>
          <w:bCs/>
          <w:sz w:val="32"/>
          <w:szCs w:val="28"/>
        </w:rPr>
        <w:t>附件</w:t>
      </w:r>
      <w:r>
        <w:rPr>
          <w:rFonts w:hint="eastAsia"/>
          <w:b/>
          <w:bCs/>
          <w:sz w:val="32"/>
          <w:szCs w:val="28"/>
          <w:lang w:val="en-US" w:eastAsia="zh-CN"/>
        </w:rPr>
        <w:t>1</w:t>
      </w:r>
      <w:r>
        <w:rPr>
          <w:rFonts w:hint="eastAsia"/>
          <w:b/>
          <w:bCs/>
          <w:sz w:val="32"/>
          <w:szCs w:val="28"/>
        </w:rPr>
        <w:t>：</w:t>
      </w:r>
    </w:p>
    <w:tbl>
      <w:tblPr>
        <w:tblStyle w:val="13"/>
        <w:tblW w:w="14760" w:type="dxa"/>
        <w:jc w:val="center"/>
        <w:tblInd w:w="0" w:type="dxa"/>
        <w:tblLayout w:type="fixed"/>
        <w:tblCellMar>
          <w:top w:w="0" w:type="dxa"/>
          <w:left w:w="108" w:type="dxa"/>
          <w:bottom w:w="0" w:type="dxa"/>
          <w:right w:w="108" w:type="dxa"/>
        </w:tblCellMar>
      </w:tblPr>
      <w:tblGrid>
        <w:gridCol w:w="853"/>
        <w:gridCol w:w="834"/>
        <w:gridCol w:w="1340"/>
        <w:gridCol w:w="3045"/>
        <w:gridCol w:w="7050"/>
        <w:gridCol w:w="750"/>
        <w:gridCol w:w="888"/>
      </w:tblGrid>
      <w:tr>
        <w:tblPrEx>
          <w:tblLayout w:type="fixed"/>
          <w:tblCellMar>
            <w:top w:w="0" w:type="dxa"/>
            <w:left w:w="108" w:type="dxa"/>
            <w:bottom w:w="0" w:type="dxa"/>
            <w:right w:w="108" w:type="dxa"/>
          </w:tblCellMar>
        </w:tblPrEx>
        <w:trPr>
          <w:trHeight w:val="90" w:hRule="atLeast"/>
          <w:jc w:val="center"/>
        </w:trPr>
        <w:tc>
          <w:tcPr>
            <w:tcW w:w="14760" w:type="dxa"/>
            <w:gridSpan w:val="7"/>
            <w:tcBorders>
              <w:top w:val="nil"/>
              <w:left w:val="nil"/>
              <w:bottom w:val="single" w:color="auto" w:sz="4" w:space="0"/>
              <w:right w:val="nil"/>
            </w:tcBorders>
            <w:shd w:val="clear" w:color="auto" w:fill="auto"/>
            <w:vAlign w:val="center"/>
          </w:tcPr>
          <w:p>
            <w:pPr>
              <w:widowControl/>
              <w:spacing w:line="560" w:lineRule="exact"/>
              <w:jc w:val="center"/>
              <w:textAlignment w:val="center"/>
              <w:rPr>
                <w:rFonts w:ascii="仿宋" w:hAnsi="仿宋" w:eastAsia="仿宋" w:cs="仿宋"/>
                <w:color w:val="000000"/>
                <w:kern w:val="0"/>
                <w:szCs w:val="21"/>
              </w:rPr>
            </w:pPr>
            <w:r>
              <w:rPr>
                <w:rFonts w:ascii="方正小标宋简体" w:hAnsi="方正小标宋简体" w:eastAsia="方正小标宋简体" w:cs="方正小标宋简体"/>
                <w:bCs/>
                <w:sz w:val="44"/>
                <w:szCs w:val="44"/>
              </w:rPr>
              <w:t>2025年市本级公益性公墓建设（城北及城东）项目</w:t>
            </w:r>
            <w:r>
              <w:rPr>
                <w:rFonts w:ascii="方正小标宋简体" w:hAnsi="方正小标宋简体" w:eastAsia="方正小标宋简体" w:cs="方正小标宋简体"/>
                <w:bCs/>
                <w:sz w:val="44"/>
                <w:szCs w:val="44"/>
              </w:rPr>
              <w:br w:type="textWrapping"/>
            </w:r>
            <w:r>
              <w:rPr>
                <w:rFonts w:ascii="方正小标宋简体" w:hAnsi="方正小标宋简体" w:eastAsia="方正小标宋简体" w:cs="方正小标宋简体"/>
                <w:bCs/>
                <w:sz w:val="44"/>
                <w:szCs w:val="44"/>
              </w:rPr>
              <w:t>项目支出绩效评价共性指标体系框架</w:t>
            </w:r>
          </w:p>
        </w:tc>
      </w:tr>
      <w:tr>
        <w:tblPrEx>
          <w:tblLayout w:type="fixed"/>
          <w:tblCellMar>
            <w:top w:w="0" w:type="dxa"/>
            <w:left w:w="108" w:type="dxa"/>
            <w:bottom w:w="0" w:type="dxa"/>
            <w:right w:w="108" w:type="dxa"/>
          </w:tblCellMar>
        </w:tblPrEx>
        <w:trPr>
          <w:trHeight w:val="585" w:hRule="atLeast"/>
          <w:jc w:val="center"/>
        </w:trPr>
        <w:tc>
          <w:tcPr>
            <w:tcW w:w="8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一级指标</w:t>
            </w: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二级指标</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三级指标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指标解释</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指标说明</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分值</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得分</w:t>
            </w:r>
          </w:p>
        </w:tc>
      </w:tr>
      <w:tr>
        <w:tblPrEx>
          <w:tblLayout w:type="fixed"/>
          <w:tblCellMar>
            <w:top w:w="0" w:type="dxa"/>
            <w:left w:w="108" w:type="dxa"/>
            <w:bottom w:w="0" w:type="dxa"/>
            <w:right w:w="108" w:type="dxa"/>
          </w:tblCellMar>
        </w:tblPrEx>
        <w:trPr>
          <w:trHeight w:val="90" w:hRule="atLeast"/>
          <w:jc w:val="center"/>
        </w:trPr>
        <w:tc>
          <w:tcPr>
            <w:tcW w:w="8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决策</w:t>
            </w: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 xml:space="preserve">项目立项 </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立项依据充分性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项目立项是否符合法律法规、相关政策、发展规划以及部门职责，用以反映和考核项目立项依据情况。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 xml:space="preserve">1.项目立项是否符合《国务院办公厅转发民政部关于进一步加强公墓管理意见的通知》和《殡葬管理条例》（国务院）等相关要求；                      </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2.项目立项是否符合《江西省公墓管理办法》等相关要求；                                             3.项目立项是否与</w:t>
            </w:r>
            <w:r>
              <w:rPr>
                <w:rFonts w:hint="eastAsia" w:ascii="宋体" w:hAnsi="宋体" w:cs="宋体"/>
                <w:color w:val="000000"/>
                <w:kern w:val="0"/>
                <w:sz w:val="22"/>
                <w:szCs w:val="22"/>
                <w:lang w:eastAsia="zh-CN"/>
              </w:rPr>
              <w:t>殡仪中心</w:t>
            </w:r>
            <w:r>
              <w:rPr>
                <w:rFonts w:hint="eastAsia" w:ascii="宋体" w:hAnsi="宋体" w:cs="宋体"/>
                <w:color w:val="000000"/>
                <w:kern w:val="0"/>
                <w:sz w:val="22"/>
                <w:szCs w:val="22"/>
              </w:rPr>
              <w:t>职责范围相符，属于</w:t>
            </w:r>
            <w:r>
              <w:rPr>
                <w:rFonts w:hint="eastAsia" w:ascii="宋体" w:hAnsi="宋体" w:cs="宋体"/>
                <w:color w:val="000000"/>
                <w:kern w:val="0"/>
                <w:sz w:val="22"/>
                <w:szCs w:val="22"/>
                <w:lang w:eastAsia="zh-CN"/>
              </w:rPr>
              <w:t>殡仪中心</w:t>
            </w:r>
            <w:r>
              <w:rPr>
                <w:rFonts w:hint="eastAsia" w:ascii="宋体" w:hAnsi="宋体" w:cs="宋体"/>
                <w:color w:val="000000"/>
                <w:kern w:val="0"/>
                <w:sz w:val="22"/>
                <w:szCs w:val="22"/>
              </w:rPr>
              <w:t xml:space="preserve">履职所需；                                </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4.项目是否属于公共财政支持范围，符合</w:t>
            </w:r>
            <w:r>
              <w:rPr>
                <w:rFonts w:hint="eastAsia" w:ascii="宋体" w:hAnsi="宋体" w:cs="宋体"/>
                <w:color w:val="000000"/>
                <w:kern w:val="0"/>
                <w:sz w:val="22"/>
                <w:szCs w:val="22"/>
                <w:lang w:eastAsia="zh-CN"/>
              </w:rPr>
              <w:t>殡仪中心</w:t>
            </w:r>
            <w:r>
              <w:rPr>
                <w:rFonts w:hint="eastAsia" w:ascii="宋体" w:hAnsi="宋体" w:cs="宋体"/>
                <w:color w:val="000000"/>
                <w:kern w:val="0"/>
                <w:sz w:val="22"/>
                <w:szCs w:val="22"/>
              </w:rPr>
              <w:t xml:space="preserve">事权支出责任划分原则。                                     </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上述内容每项符合0.5分，不符合0分。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r>
      <w:tr>
        <w:tblPrEx>
          <w:tblLayout w:type="fixed"/>
          <w:tblCellMar>
            <w:top w:w="0" w:type="dxa"/>
            <w:left w:w="108" w:type="dxa"/>
            <w:bottom w:w="0" w:type="dxa"/>
            <w:right w:w="108" w:type="dxa"/>
          </w:tblCellMar>
        </w:tblPrEx>
        <w:trPr>
          <w:trHeight w:val="2057"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立项程序规范性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项目申请、设立过程是否符合相关要求，用以反映和考核项目立项的规范情况。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①项目是否按照规定的程序申请设立；</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②审批文件、材料是否符合相关要求；</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③事前是否已经过必要的可行性研究、专家论证、风险评估、绩效评估、集体决策。</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上述内容每项符合1分，不符合0分。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3</w:t>
            </w:r>
          </w:p>
        </w:tc>
      </w:tr>
      <w:tr>
        <w:tblPrEx>
          <w:tblLayout w:type="fixed"/>
          <w:tblCellMar>
            <w:top w:w="0" w:type="dxa"/>
            <w:left w:w="108" w:type="dxa"/>
            <w:bottom w:w="0" w:type="dxa"/>
            <w:right w:w="108" w:type="dxa"/>
          </w:tblCellMar>
        </w:tblPrEx>
        <w:trPr>
          <w:trHeight w:val="193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绩效目标</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绩效目标合理性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项目所设定的绩效目标是否依据充分，是否符合客观实际，用以反映和考核项目绩效目标与项目实施的相符情况。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①项目是否有绩效目标；</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②项目绩效目标与实际工作内容是否具有相关性；</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③项目预期产出效益和效果是否符合正常的业绩水平；</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④是否与预算确定的项目投资额或资金量相匹配。</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上述内容每项符合0.5分，不符合0分。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r>
      <w:tr>
        <w:tblPrEx>
          <w:tblLayout w:type="fixed"/>
          <w:tblCellMar>
            <w:top w:w="0" w:type="dxa"/>
            <w:left w:w="108" w:type="dxa"/>
            <w:bottom w:w="0" w:type="dxa"/>
            <w:right w:w="108" w:type="dxa"/>
          </w:tblCellMar>
        </w:tblPrEx>
        <w:trPr>
          <w:trHeight w:val="191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绩效指标明确性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依据绩效目标设定的绩效指标是否清晰、细化、可衡量等，用以反映和考核项目绩效目标的明细化情况。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①是否将项目绩效目标细化分解为具体的绩效指标；</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②是否通过清晰、可衡量的指标值予以体现；</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③是否与项目目标任务数或计划数相对应。</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上述内容每项符合1分，不符合0分。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r>
      <w:tr>
        <w:tblPrEx>
          <w:tblLayout w:type="fixed"/>
          <w:tblCellMar>
            <w:top w:w="0" w:type="dxa"/>
            <w:left w:w="108" w:type="dxa"/>
            <w:bottom w:w="0" w:type="dxa"/>
            <w:right w:w="108" w:type="dxa"/>
          </w:tblCellMar>
        </w:tblPrEx>
        <w:trPr>
          <w:trHeight w:val="227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资金投入</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预算编制科学性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项目预算编制是否经过科学论证、有明确标准，资金额度与年度目标是否相适应，用以反映和考核项目预算编制的科学性、合理性情况。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①预算编制是否经过科学论证；</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②预算内容与项目内容是否匹配；</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③预算额度测算依据是否充分，是否按照标准编制；</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④预算确定的项目投资额或资金量是否与工作任务相匹配。</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上述内容每项符合1分，不符合0分。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4</w:t>
            </w:r>
          </w:p>
        </w:tc>
      </w:tr>
      <w:tr>
        <w:tblPrEx>
          <w:tblLayout w:type="fixed"/>
          <w:tblCellMar>
            <w:top w:w="0" w:type="dxa"/>
            <w:left w:w="108" w:type="dxa"/>
            <w:bottom w:w="0" w:type="dxa"/>
            <w:right w:w="108" w:type="dxa"/>
          </w:tblCellMar>
        </w:tblPrEx>
        <w:trPr>
          <w:trHeight w:val="1955"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资金分配合理性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项目预算资金分配是否有测算依据，与补助单位或地方实际是否相适应，用以反映和考核项目预算资金分配的科学性、合理性情况。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①预算资金分配依据是否充分；</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②资金分配额度是否合理，与项目单位或地方实际是否相适应。上述内容每项符合0.5分，不符合0分。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r>
      <w:tr>
        <w:tblPrEx>
          <w:tblLayout w:type="fixed"/>
          <w:tblCellMar>
            <w:top w:w="0" w:type="dxa"/>
            <w:left w:w="108" w:type="dxa"/>
            <w:bottom w:w="0" w:type="dxa"/>
            <w:right w:w="108" w:type="dxa"/>
          </w:tblCellMar>
        </w:tblPrEx>
        <w:trPr>
          <w:trHeight w:val="1975" w:hRule="atLeast"/>
          <w:jc w:val="center"/>
        </w:trPr>
        <w:tc>
          <w:tcPr>
            <w:tcW w:w="8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val="0"/>
                <w:bCs w:val="0"/>
                <w:color w:val="000000"/>
                <w:kern w:val="0"/>
                <w:sz w:val="22"/>
                <w:szCs w:val="22"/>
              </w:rPr>
            </w:pPr>
            <w:r>
              <w:rPr>
                <w:rFonts w:hint="eastAsia" w:ascii="宋体" w:hAnsi="宋体" w:cs="宋体"/>
                <w:b w:val="0"/>
                <w:bCs w:val="0"/>
                <w:color w:val="000000"/>
                <w:kern w:val="0"/>
                <w:sz w:val="22"/>
                <w:szCs w:val="22"/>
              </w:rPr>
              <w:t>过程</w:t>
            </w:r>
          </w:p>
        </w:tc>
        <w:tc>
          <w:tcPr>
            <w:tcW w:w="834" w:type="dxa"/>
            <w:vMerge w:val="restart"/>
            <w:tcBorders>
              <w:top w:val="single" w:color="auto" w:sz="4" w:space="0"/>
              <w:left w:val="single" w:color="auto" w:sz="4" w:space="0"/>
              <w:right w:val="single" w:color="auto" w:sz="4" w:space="0"/>
            </w:tcBorders>
            <w:shd w:val="clear" w:color="auto" w:fill="auto"/>
            <w:vAlign w:val="center"/>
          </w:tcPr>
          <w:p>
            <w:pPr>
              <w:widowControl/>
              <w:jc w:val="center"/>
              <w:textAlignment w:val="center"/>
              <w:rPr>
                <w:rFonts w:ascii="宋体" w:hAnsi="宋体" w:cs="宋体"/>
                <w:b w:val="0"/>
                <w:bCs w:val="0"/>
                <w:color w:val="000000"/>
                <w:kern w:val="0"/>
                <w:sz w:val="22"/>
                <w:szCs w:val="22"/>
              </w:rPr>
            </w:pPr>
            <w:r>
              <w:rPr>
                <w:rFonts w:hint="eastAsia" w:ascii="宋体" w:hAnsi="宋体" w:cs="宋体"/>
                <w:b w:val="0"/>
                <w:bCs w:val="0"/>
                <w:color w:val="000000"/>
                <w:kern w:val="0"/>
                <w:sz w:val="22"/>
                <w:szCs w:val="22"/>
              </w:rPr>
              <w:t>资金管理</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资金到位率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实际到位资金与预算资金的比率，用以反映和考核资金落实情况对项目实施的总体保障程度。</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资金到位率=（实际到位资金/预算资金）×100%。</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实际到位资金：一定时期（本年度或项目期）内落实到具体项目的资金。</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预算资金:一定时期（本年度或项目期）内预算安排到具体项目的资金。</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得分=资金到位率*权重分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1.87</w:t>
            </w:r>
          </w:p>
        </w:tc>
      </w:tr>
      <w:tr>
        <w:tblPrEx>
          <w:tblLayout w:type="fixed"/>
          <w:tblCellMar>
            <w:top w:w="0" w:type="dxa"/>
            <w:left w:w="108" w:type="dxa"/>
            <w:bottom w:w="0" w:type="dxa"/>
            <w:right w:w="108" w:type="dxa"/>
          </w:tblCellMar>
        </w:tblPrEx>
        <w:trPr>
          <w:trHeight w:val="175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val="0"/>
                <w:bCs w:val="0"/>
                <w:color w:val="000000"/>
                <w:kern w:val="0"/>
                <w:sz w:val="22"/>
                <w:szCs w:val="22"/>
              </w:rPr>
            </w:pPr>
          </w:p>
        </w:tc>
        <w:tc>
          <w:tcPr>
            <w:tcW w:w="834" w:type="dxa"/>
            <w:vMerge w:val="continue"/>
            <w:tcBorders>
              <w:left w:val="single" w:color="auto" w:sz="4" w:space="0"/>
              <w:right w:val="single" w:color="auto" w:sz="4" w:space="0"/>
            </w:tcBorders>
            <w:shd w:val="clear" w:color="auto" w:fill="auto"/>
            <w:vAlign w:val="center"/>
          </w:tcPr>
          <w:p>
            <w:pPr>
              <w:widowControl/>
              <w:jc w:val="center"/>
              <w:textAlignment w:val="center"/>
              <w:rPr>
                <w:rFonts w:ascii="宋体" w:hAnsi="宋体" w:cs="宋体"/>
                <w:b w:val="0"/>
                <w:bCs w:val="0"/>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预算执行率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项目预算资金是否按照计划执行，用以反映或考核项目预算执行情况。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预算执行率=（实际支出资金/实际到位资金）*100%；</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1.实际支出资金：一定时期（本年度或项目期）内项目实际拨付的资金；                                            </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2.实际到位资金：一定时期（本年度或项目期）内落实到具体项目的资金。</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得分=预算执行率*权重分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3</w:t>
            </w:r>
          </w:p>
        </w:tc>
      </w:tr>
      <w:tr>
        <w:tblPrEx>
          <w:tblLayout w:type="fixed"/>
          <w:tblCellMar>
            <w:top w:w="0" w:type="dxa"/>
            <w:left w:w="108" w:type="dxa"/>
            <w:bottom w:w="0" w:type="dxa"/>
            <w:right w:w="108" w:type="dxa"/>
          </w:tblCellMar>
        </w:tblPrEx>
        <w:trPr>
          <w:trHeight w:val="24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val="0"/>
                <w:bCs w:val="0"/>
                <w:color w:val="000000"/>
                <w:kern w:val="0"/>
                <w:sz w:val="22"/>
                <w:szCs w:val="22"/>
              </w:rPr>
            </w:pPr>
          </w:p>
        </w:tc>
        <w:tc>
          <w:tcPr>
            <w:tcW w:w="834" w:type="dxa"/>
            <w:vMerge w:val="continue"/>
            <w:tcBorders>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val="0"/>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资金使用合规性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项目资金使用是否符合相关的财务管理制度规定，用以反映和考核项目资金的规范运行情况。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①是否符合国家财经法规和财务管理制度以及有关专项资金管理办法的规定；</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②资金的拨付是否有完整的审批程序和手续；</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③是否符合项目预算批复或合同规定的用途；</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④是否存在截留、挤占、挪用、虚列支出等情况。</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上述内容每项符合1分，不符合0分。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4</w:t>
            </w:r>
          </w:p>
        </w:tc>
      </w:tr>
      <w:tr>
        <w:tblPrEx>
          <w:tblLayout w:type="fixed"/>
          <w:tblCellMar>
            <w:top w:w="0" w:type="dxa"/>
            <w:left w:w="108" w:type="dxa"/>
            <w:bottom w:w="0" w:type="dxa"/>
            <w:right w:w="108" w:type="dxa"/>
          </w:tblCellMar>
        </w:tblPrEx>
        <w:trPr>
          <w:trHeight w:val="1483"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val="0"/>
                <w:bCs w:val="0"/>
                <w:color w:val="000000"/>
                <w:kern w:val="0"/>
                <w:sz w:val="22"/>
                <w:szCs w:val="22"/>
              </w:rPr>
            </w:pP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val="0"/>
                <w:bCs w:val="0"/>
                <w:color w:val="000000"/>
                <w:kern w:val="0"/>
                <w:sz w:val="22"/>
                <w:szCs w:val="22"/>
              </w:rPr>
            </w:pPr>
            <w:r>
              <w:rPr>
                <w:rFonts w:hint="eastAsia" w:ascii="宋体" w:hAnsi="宋体" w:cs="宋体"/>
                <w:b w:val="0"/>
                <w:bCs w:val="0"/>
                <w:color w:val="000000"/>
                <w:kern w:val="0"/>
                <w:sz w:val="22"/>
                <w:szCs w:val="22"/>
              </w:rPr>
              <w:t>组织实施</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管理制度健全性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项目实施单位的财务和业务管理制度是否健全，用以反映和考核财务和业务管理制度对项目顺利实施的保障情况。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①是否制定或具有相应的财务和业务管理制度；</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②财务和业务管理制度是否合法、合规、完整。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上述内容每项符合1分，不符合0分。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r>
      <w:tr>
        <w:tblPrEx>
          <w:tblLayout w:type="fixed"/>
          <w:tblCellMar>
            <w:top w:w="0" w:type="dxa"/>
            <w:left w:w="108" w:type="dxa"/>
            <w:bottom w:w="0" w:type="dxa"/>
            <w:right w:w="108" w:type="dxa"/>
          </w:tblCellMar>
        </w:tblPrEx>
        <w:trPr>
          <w:trHeight w:val="2155"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制度执行有效性</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项目实施是否符合相关管理规定，用以反映和考核相关管理制度的有效执行情况。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评价要点：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①是否遵守相关法律法规和相关管理规定；</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②项目调整及支出调整手续是否完备；</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③项目合同书、验收报告、技术鉴定等资料是否齐全并及时归档；</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④项目实施的人员条件、场地设备、信息支撑等是否落实到位。上述内容每项符合1分，不符合0分。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4</w:t>
            </w:r>
          </w:p>
        </w:tc>
      </w:tr>
      <w:tr>
        <w:tblPrEx>
          <w:tblLayout w:type="fixed"/>
          <w:tblCellMar>
            <w:top w:w="0" w:type="dxa"/>
            <w:left w:w="108" w:type="dxa"/>
            <w:bottom w:w="0" w:type="dxa"/>
            <w:right w:w="108" w:type="dxa"/>
          </w:tblCellMar>
        </w:tblPrEx>
        <w:trPr>
          <w:trHeight w:val="1140" w:hRule="atLeast"/>
          <w:jc w:val="center"/>
        </w:trPr>
        <w:tc>
          <w:tcPr>
            <w:tcW w:w="8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产出</w:t>
            </w: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产出数量</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单墓穴数量</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完成单墓穴建设1100套</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根据年初计划，本年度完成单墓穴建设1100套，得1.5分，每减少50套，扣0.5分，扣完为止。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双墓穴数量</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完成双墓穴建设1800套</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根据年初计划，本年度完成双墓穴建设1800套，得1.5分，每减少90套，扣0.5分，扣完为止。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绿化种植土体积</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完成绿化种植土体积500</w:t>
            </w:r>
            <w:r>
              <w:rPr>
                <w:rFonts w:hint="eastAsia" w:ascii="宋体" w:hAnsi="宋体" w:cs="宋体"/>
                <w:color w:val="000000"/>
                <w:kern w:val="0"/>
                <w:sz w:val="22"/>
                <w:szCs w:val="22"/>
                <w:highlight w:val="none"/>
                <w:lang w:val="en-US" w:eastAsia="zh-CN"/>
              </w:rPr>
              <w:t>00</w:t>
            </w:r>
            <w:r>
              <w:rPr>
                <w:rFonts w:hint="eastAsia" w:ascii="宋体" w:hAnsi="宋体" w:cs="宋体"/>
                <w:color w:val="000000"/>
                <w:kern w:val="0"/>
                <w:sz w:val="22"/>
                <w:szCs w:val="22"/>
                <w:highlight w:val="none"/>
              </w:rPr>
              <w:t>立方米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根据年初计划，本年度完成绿化种植土体积50</w:t>
            </w:r>
            <w:r>
              <w:rPr>
                <w:rFonts w:hint="eastAsia" w:ascii="宋体" w:hAnsi="宋体" w:cs="宋体"/>
                <w:color w:val="000000"/>
                <w:kern w:val="0"/>
                <w:sz w:val="22"/>
                <w:szCs w:val="22"/>
                <w:highlight w:val="none"/>
                <w:lang w:val="en-US" w:eastAsia="zh-CN"/>
              </w:rPr>
              <w:t>000</w:t>
            </w:r>
            <w:r>
              <w:rPr>
                <w:rFonts w:hint="eastAsia" w:ascii="宋体" w:hAnsi="宋体" w:cs="宋体"/>
                <w:color w:val="000000"/>
                <w:kern w:val="0"/>
                <w:sz w:val="22"/>
                <w:szCs w:val="22"/>
                <w:highlight w:val="none"/>
              </w:rPr>
              <w:t>立方米，得1.5分，每减少25</w:t>
            </w:r>
            <w:r>
              <w:rPr>
                <w:rFonts w:hint="eastAsia" w:ascii="宋体" w:hAnsi="宋体" w:cs="宋体"/>
                <w:color w:val="000000"/>
                <w:kern w:val="0"/>
                <w:sz w:val="22"/>
                <w:szCs w:val="22"/>
                <w:highlight w:val="none"/>
                <w:lang w:val="en-US" w:eastAsia="zh-CN"/>
              </w:rPr>
              <w:t>00</w:t>
            </w:r>
            <w:r>
              <w:rPr>
                <w:rFonts w:hint="eastAsia" w:ascii="宋体" w:hAnsi="宋体" w:cs="宋体"/>
                <w:color w:val="000000"/>
                <w:kern w:val="0"/>
                <w:sz w:val="22"/>
                <w:szCs w:val="22"/>
                <w:highlight w:val="none"/>
              </w:rPr>
              <w:t>立方米，扣0.5分，扣完为止。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绿化草皮面积</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完成绿化草皮面积800</w:t>
            </w:r>
            <w:r>
              <w:rPr>
                <w:rFonts w:hint="eastAsia" w:ascii="宋体" w:hAnsi="宋体" w:cs="宋体"/>
                <w:color w:val="000000"/>
                <w:kern w:val="0"/>
                <w:sz w:val="22"/>
                <w:szCs w:val="22"/>
                <w:highlight w:val="none"/>
                <w:lang w:val="en-US" w:eastAsia="zh-CN"/>
              </w:rPr>
              <w:t>00</w:t>
            </w:r>
            <w:r>
              <w:rPr>
                <w:rFonts w:hint="eastAsia" w:ascii="宋体" w:hAnsi="宋体" w:cs="宋体"/>
                <w:color w:val="000000"/>
                <w:kern w:val="0"/>
                <w:sz w:val="22"/>
                <w:szCs w:val="22"/>
                <w:highlight w:val="none"/>
                <w:lang w:eastAsia="zh-CN"/>
              </w:rPr>
              <w:t>平</w:t>
            </w:r>
            <w:r>
              <w:rPr>
                <w:rFonts w:hint="eastAsia" w:ascii="宋体" w:hAnsi="宋体" w:cs="宋体"/>
                <w:color w:val="000000"/>
                <w:kern w:val="0"/>
                <w:sz w:val="22"/>
                <w:szCs w:val="22"/>
                <w:highlight w:val="none"/>
              </w:rPr>
              <w:t>方米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根据年初计划，本年度完成绿化草皮面积800</w:t>
            </w:r>
            <w:r>
              <w:rPr>
                <w:rFonts w:hint="eastAsia" w:ascii="宋体" w:hAnsi="宋体" w:cs="宋体"/>
                <w:color w:val="000000"/>
                <w:kern w:val="0"/>
                <w:sz w:val="22"/>
                <w:szCs w:val="22"/>
                <w:highlight w:val="none"/>
                <w:lang w:val="en-US" w:eastAsia="zh-CN"/>
              </w:rPr>
              <w:t>00平</w:t>
            </w:r>
            <w:r>
              <w:rPr>
                <w:rFonts w:hint="eastAsia" w:ascii="宋体" w:hAnsi="宋体" w:cs="宋体"/>
                <w:color w:val="000000"/>
                <w:kern w:val="0"/>
                <w:sz w:val="22"/>
                <w:szCs w:val="22"/>
                <w:highlight w:val="none"/>
              </w:rPr>
              <w:t>方米，得1.5分，每减少40</w:t>
            </w:r>
            <w:r>
              <w:rPr>
                <w:rFonts w:hint="eastAsia" w:ascii="宋体" w:hAnsi="宋体" w:cs="宋体"/>
                <w:color w:val="000000"/>
                <w:kern w:val="0"/>
                <w:sz w:val="22"/>
                <w:szCs w:val="22"/>
                <w:highlight w:val="none"/>
                <w:lang w:val="en-US" w:eastAsia="zh-CN"/>
              </w:rPr>
              <w:t>00平方米</w:t>
            </w:r>
            <w:r>
              <w:rPr>
                <w:rFonts w:hint="eastAsia" w:ascii="宋体" w:hAnsi="宋体" w:cs="宋体"/>
                <w:color w:val="000000"/>
                <w:kern w:val="0"/>
                <w:sz w:val="22"/>
                <w:szCs w:val="22"/>
                <w:highlight w:val="none"/>
              </w:rPr>
              <w:t>，扣0.5分，扣完为止。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透水混凝土体积</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完成透水混凝土体积550</w:t>
            </w:r>
            <w:r>
              <w:rPr>
                <w:rFonts w:hint="eastAsia" w:ascii="宋体" w:hAnsi="宋体" w:cs="宋体"/>
                <w:color w:val="000000"/>
                <w:kern w:val="0"/>
                <w:sz w:val="22"/>
                <w:szCs w:val="22"/>
                <w:highlight w:val="none"/>
                <w:lang w:val="en-US" w:eastAsia="zh-CN"/>
              </w:rPr>
              <w:t>00</w:t>
            </w:r>
            <w:r>
              <w:rPr>
                <w:rFonts w:hint="eastAsia" w:ascii="宋体" w:hAnsi="宋体" w:cs="宋体"/>
                <w:color w:val="000000"/>
                <w:kern w:val="0"/>
                <w:sz w:val="22"/>
                <w:szCs w:val="22"/>
                <w:highlight w:val="none"/>
              </w:rPr>
              <w:t>立方米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根据年初计划，本年度完成透水混凝土体积550</w:t>
            </w:r>
            <w:r>
              <w:rPr>
                <w:rFonts w:hint="eastAsia" w:ascii="宋体" w:hAnsi="宋体" w:cs="宋体"/>
                <w:color w:val="000000"/>
                <w:kern w:val="0"/>
                <w:sz w:val="22"/>
                <w:szCs w:val="22"/>
                <w:highlight w:val="none"/>
                <w:lang w:val="en-US" w:eastAsia="zh-CN"/>
              </w:rPr>
              <w:t>00</w:t>
            </w:r>
            <w:r>
              <w:rPr>
                <w:rFonts w:hint="eastAsia" w:ascii="宋体" w:hAnsi="宋体" w:cs="宋体"/>
                <w:color w:val="000000"/>
                <w:kern w:val="0"/>
                <w:sz w:val="22"/>
                <w:szCs w:val="22"/>
                <w:highlight w:val="none"/>
              </w:rPr>
              <w:t>立方米，得1.5分，每减少25</w:t>
            </w:r>
            <w:r>
              <w:rPr>
                <w:rFonts w:hint="eastAsia" w:ascii="宋体" w:hAnsi="宋体" w:cs="宋体"/>
                <w:color w:val="000000"/>
                <w:kern w:val="0"/>
                <w:sz w:val="22"/>
                <w:szCs w:val="22"/>
                <w:highlight w:val="none"/>
                <w:lang w:val="en-US" w:eastAsia="zh-CN"/>
              </w:rPr>
              <w:t>00</w:t>
            </w:r>
            <w:r>
              <w:rPr>
                <w:rFonts w:hint="eastAsia" w:ascii="宋体" w:hAnsi="宋体" w:cs="宋体"/>
                <w:color w:val="000000"/>
                <w:kern w:val="0"/>
                <w:sz w:val="22"/>
                <w:szCs w:val="22"/>
                <w:highlight w:val="none"/>
              </w:rPr>
              <w:t>立方米，扣0.5分，扣完为止。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建造停车位面积</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完成建造停车位面积1000平方米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根据年初计划，本年度完成建造停车位面积1000平方米，得1.5分，每减少50平方米，扣0.5分，扣完为止。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种植树木数量</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完成种植树木1000棵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根据年初计划，本年度完成种植树木1000棵，得1.5分，每减少50棵，扣0.5分，扣完为止。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新建双墓穴数量</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完成新建双墓穴3000个</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根据年初计划，本年度完成新建双墓穴3000个，得1.5分，每减少250个，扣0.5分，扣完为止。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新建排水沟长度</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完成新建排水沟长度4000米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根据年初计划，本年度完成新建排水沟长度4000米，得1.5分，每减少200米，扣0.5分，扣完为止。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摊铺道路沥青面积</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完成摊铺道路沥青面积24000平方米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根据年初计划，本年度完成摊铺道路沥青面积24000平方米，得1.5分，每减少2400平方米，扣0.5分，扣完为止。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新建围墙长度</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完成新建围墙长度550米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根据年初计划，本年度完成新建围墙长度550米，得1.5分，每减少25米，扣0.5分，扣完为止。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新建民族墓穴数量</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完成新建民族墓穴450个</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根据年初计划，本年度完成新建民族墓穴450个，得1.5分，每减少50个，扣0.5分，扣完为止。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1.5</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铺装人行道面积</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完成铺装人行道面积484平方米</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根据年初计划，本年度完成铺装人行道面积484平方米，得1.5分，每减少50平方米，扣0.5分，扣完为止。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新建壁葬数量</w:t>
            </w:r>
          </w:p>
        </w:tc>
        <w:tc>
          <w:tcPr>
            <w:tcW w:w="304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完成新建壁葬600个</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根据年初计划，本年度完成新建壁葬600个，得1.5分，每减少30个，扣0.5分，扣完为止。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r>
      <w:tr>
        <w:tblPrEx>
          <w:tblLayout w:type="fixed"/>
          <w:tblCellMar>
            <w:top w:w="0" w:type="dxa"/>
            <w:left w:w="108" w:type="dxa"/>
            <w:bottom w:w="0" w:type="dxa"/>
            <w:right w:w="108" w:type="dxa"/>
          </w:tblCellMar>
        </w:tblPrEx>
        <w:trPr>
          <w:trHeight w:val="11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产出质量</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单墓穴过程中验收合格率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体现单墓穴过程中验收合格的相关情况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根据年初计划，本年度单墓穴过程中验收合格率为100%，得0.4分，每下降10%，扣0.1分，扣完为止。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双墓穴过程中验收合格率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体现双墓穴过程中验收合格的相关情况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根据年初计划，本年度双墓穴过程中验收合格率为100%，得0.4分，每下降10%，扣0.1分，扣完为止。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绿化种植土过程中验收合格率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体现绿化种植土过程中验收合格的相关情况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根据年初计划，本年度绿化种植土过程中验收合格率为100%，得0.4分，每下降10%，扣0.1分，扣完为止。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绿化草皮过程中验收合格率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体现绿化草皮过程中验收合格的相关情况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根据年初计划，本年度绿化草皮过程中验收合格率为100%，得0.4分，每下降10%，扣0.1分，扣完为止。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透水混凝土过程中验收合格率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体现透水混凝土过程中验收合格的相关情况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根据年初计划，本年度透水混凝土过程中验收合格率为100%，得0.4分，每下降10%，扣0.1分，扣完为止。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1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停车位过程中验收合格率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体现停车位过程中验收合格的相关情况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根据年初计划，本年度停车位过程中验收合格率为100%，得0.4分，每下降10%，扣0.1分，扣完为止。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排水沟过程中验收合格率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体现排水沟过程中验收合格的相关情况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根据年初计划，本年度排水沟过程中验收合格率为100%，得0.4分，每下降10%，扣0.1分，扣完为止。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道路沥青过程中验收合格率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体现道路沥青过程中验收合格的相关情况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根据年初计划，本年度道路沥青过程中验收合格率为100%，得0.4分，每下降10%，扣0.1分，扣完为止。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035"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围墙过程中验收合格率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体现围墙过程中验收合格的相关情况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根据年初计划，本年度围墙过程中验收合格率为100%，得0.4分，每下降10%，扣0.1分，扣完为止。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0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民族墓穴过程中验收合格率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体现民族墓穴过程中验收合格的相关情况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根据年初计划，本年度民族墓穴过程中验收合格率为100%，得0.4分，每下降10%，扣0.1分，扣完为止。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人行道路铺装过程中验收合格率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体现人行道路铺装过程中验收合格的相关情况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根据年初计划，本年度人行道路铺装过程中验收合格率为100%，得0.5分，每下降10%，扣0.1分，扣完为止。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r>
      <w:tr>
        <w:tblPrEx>
          <w:tblLayout w:type="fixed"/>
          <w:tblCellMar>
            <w:top w:w="0" w:type="dxa"/>
            <w:left w:w="108" w:type="dxa"/>
            <w:bottom w:w="0" w:type="dxa"/>
            <w:right w:w="108" w:type="dxa"/>
          </w:tblCellMar>
        </w:tblPrEx>
        <w:trPr>
          <w:trHeight w:val="99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壁葬过程中验收合格率</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体现壁葬过程中验收合格的相关情况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根据年初计划，本年度壁葬过程中验收合格率为100%，得0.5分，每下降10%，扣0.1分，扣完为止。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r>
      <w:tr>
        <w:tblPrEx>
          <w:tblLayout w:type="fixed"/>
          <w:tblCellMar>
            <w:top w:w="0" w:type="dxa"/>
            <w:left w:w="108" w:type="dxa"/>
            <w:bottom w:w="0" w:type="dxa"/>
            <w:right w:w="108" w:type="dxa"/>
          </w:tblCellMar>
        </w:tblPrEx>
        <w:trPr>
          <w:trHeight w:val="1004"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产出时效</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单墓穴完成时间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考察单墓穴建设是否在规定时间内完成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根据年初计划，本年度新建单墓穴在2025年6月完成达到100%，得0.4分，每下降10%，扣0.1分，扣完为止。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2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双墓穴完成时间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考察双墓穴建设是否在规定时间内完成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根据年初计划，本年度新建双墓穴在2025年6月完成达到100%，得0.4分，每下降10%，扣0.1分，扣完为止。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2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绿化种植土完成时间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考察绿化种植土是否在规定时间内完成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根据年初计划，本年度绿化种植土在2025年6月完成达到100%，得0.4分，每下降10%，扣0.1分，扣完为止。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2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绿化草皮完成时间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考察绿化草皮是否在规定时间内完成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根据年初计划，本年度绿化草皮在2025年6月完成达到100%，得0.4分，每下降10%，扣0.1分，扣完为止。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2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透水混凝土园路完成时间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考察透水混凝土园路是否在规定时间内完成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根据年初计划，本年度透水混凝土园路在2025年6月完成达到100%，得0.4分，每下降10%，扣0.1分，扣完为止。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2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停车位完成时间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考察停车位建设是否在规定时间内完成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根据年初计划，本年度新建停车位在2025年11月完成达到100%，得0.4分，每下降10%，扣0.1分，扣完为止。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11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排水沟完成时间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考察排水沟建设是否在规定时间内完成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根据年初计划，本年度新建排水沟在2025年11月完成达到100%，得0.4分，每下降10%，扣0.1分，扣完为止。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829"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道路沥青完成时间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考察道路沥青摊铺是否在规定时间内完成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根据年初计划，本年度道路沥青摊铺在2025年11月完成达到100%，得0.4分，每下降10%，扣0.1分，扣完为止。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24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围墙完成时间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考察围墙新建是否在规定时间内完成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根据年初计划，本年度新建围墙在2025年11月完成达到100%，得0.4分，每下降10%，扣0.1分，扣完为止。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108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民族墓穴完成时间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考察民族墓穴新建是否在规定时间内完成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根据年初计划，本年度新建民族墓穴在2025年11月完成达到100%，得0.4分，每下降10%，扣0.1分，扣完为止。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0.4</w:t>
            </w:r>
          </w:p>
        </w:tc>
      </w:tr>
      <w:tr>
        <w:tblPrEx>
          <w:tblLayout w:type="fixed"/>
          <w:tblCellMar>
            <w:top w:w="0" w:type="dxa"/>
            <w:left w:w="108" w:type="dxa"/>
            <w:bottom w:w="0" w:type="dxa"/>
            <w:right w:w="108" w:type="dxa"/>
          </w:tblCellMar>
        </w:tblPrEx>
        <w:trPr>
          <w:trHeight w:val="975"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人行道路铺装完成时间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考察人行道路铺装是否在规定时间内完成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根据年初计划，本年度人行道路铺装在2025年11月完成达到100%，得0.5分，每下降10%，扣0.1分，扣完为止。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r>
      <w:tr>
        <w:tblPrEx>
          <w:tblLayout w:type="fixed"/>
          <w:tblCellMar>
            <w:top w:w="0" w:type="dxa"/>
            <w:left w:w="108" w:type="dxa"/>
            <w:bottom w:w="0" w:type="dxa"/>
            <w:right w:w="108" w:type="dxa"/>
          </w:tblCellMar>
        </w:tblPrEx>
        <w:trPr>
          <w:trHeight w:val="890"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壁葬完成时间</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考察壁葬新建是否在规定时间内完成</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根据年初计划，本年度新建壁葬在2025年11月完成达到100%，得0.5分，每下降10%，扣0.1分，扣完为止。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0.5</w:t>
            </w:r>
          </w:p>
        </w:tc>
      </w:tr>
      <w:tr>
        <w:tblPrEx>
          <w:tblLayout w:type="fixed"/>
          <w:tblCellMar>
            <w:top w:w="0" w:type="dxa"/>
            <w:left w:w="108" w:type="dxa"/>
            <w:bottom w:w="0" w:type="dxa"/>
            <w:right w:w="108" w:type="dxa"/>
          </w:tblCellMar>
        </w:tblPrEx>
        <w:trPr>
          <w:trHeight w:val="1448"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产出成本</w:t>
            </w:r>
          </w:p>
        </w:tc>
        <w:tc>
          <w:tcPr>
            <w:tcW w:w="13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市本级公益性公墓建设（城北及城东）项目</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考察项目2025年度支出是否控制在年初预算内。</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根据年初计划，本年度市本级公益性公墓建设（城北及城东）项目</w:t>
            </w:r>
            <w:r>
              <w:rPr>
                <w:rFonts w:hint="eastAsia" w:ascii="宋体" w:hAnsi="宋体" w:cs="宋体"/>
                <w:color w:val="000000"/>
                <w:kern w:val="0"/>
                <w:sz w:val="22"/>
                <w:szCs w:val="22"/>
                <w:lang w:eastAsia="zh-CN"/>
              </w:rPr>
              <w:t>成本</w:t>
            </w:r>
            <w:r>
              <w:rPr>
                <w:rFonts w:hint="eastAsia" w:ascii="宋体" w:hAnsi="宋体" w:cs="宋体"/>
                <w:color w:val="000000"/>
                <w:kern w:val="0"/>
                <w:sz w:val="22"/>
                <w:szCs w:val="22"/>
              </w:rPr>
              <w:t>控制在年初预算内，得</w:t>
            </w:r>
            <w:r>
              <w:rPr>
                <w:rFonts w:hint="eastAsia" w:ascii="宋体" w:hAnsi="宋体" w:cs="宋体"/>
                <w:color w:val="000000"/>
                <w:kern w:val="0"/>
                <w:sz w:val="22"/>
                <w:szCs w:val="22"/>
                <w:lang w:val="en-US" w:eastAsia="zh-CN"/>
              </w:rPr>
              <w:t>10</w:t>
            </w:r>
            <w:r>
              <w:rPr>
                <w:rFonts w:hint="eastAsia" w:ascii="宋体" w:hAnsi="宋体" w:cs="宋体"/>
                <w:color w:val="000000"/>
                <w:kern w:val="0"/>
                <w:sz w:val="22"/>
                <w:szCs w:val="22"/>
              </w:rPr>
              <w:t>分，否则不得分。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r>
      <w:tr>
        <w:tblPrEx>
          <w:tblLayout w:type="fixed"/>
          <w:tblCellMar>
            <w:top w:w="0" w:type="dxa"/>
            <w:left w:w="108" w:type="dxa"/>
            <w:bottom w:w="0" w:type="dxa"/>
            <w:right w:w="108" w:type="dxa"/>
          </w:tblCellMar>
        </w:tblPrEx>
        <w:trPr>
          <w:trHeight w:val="1095" w:hRule="atLeast"/>
          <w:jc w:val="center"/>
        </w:trPr>
        <w:tc>
          <w:tcPr>
            <w:tcW w:w="8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效益</w:t>
            </w:r>
          </w:p>
        </w:tc>
        <w:tc>
          <w:tcPr>
            <w:tcW w:w="8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社会效益</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满足市民平价墓地的丧葬需求</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考察满足市民平价墓地的丧葬需求的相关情况。</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根据年初计划，本年度满足市民平价墓地的丧葬需求，得20分，未满足得0分。</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20</w:t>
            </w:r>
          </w:p>
        </w:tc>
      </w:tr>
      <w:tr>
        <w:tblPrEx>
          <w:tblLayout w:type="fixed"/>
          <w:tblCellMar>
            <w:top w:w="0" w:type="dxa"/>
            <w:left w:w="108" w:type="dxa"/>
            <w:bottom w:w="0" w:type="dxa"/>
            <w:right w:w="108" w:type="dxa"/>
          </w:tblCellMar>
        </w:tblPrEx>
        <w:trPr>
          <w:trHeight w:val="1095" w:hRule="atLeast"/>
          <w:jc w:val="center"/>
        </w:trPr>
        <w:tc>
          <w:tcPr>
            <w:tcW w:w="8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8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农民工满意度</w:t>
            </w:r>
          </w:p>
        </w:tc>
        <w:tc>
          <w:tcPr>
            <w:tcW w:w="3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社会公众或服务对象对项目实施效果的满意程度。</w:t>
            </w:r>
          </w:p>
        </w:tc>
        <w:tc>
          <w:tcPr>
            <w:tcW w:w="7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根据年初计划，本年度农民工满意度达到95%，得10分，每下降5%，扣2分，扣完为止。经调查，满意度为98.4%。</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10</w:t>
            </w:r>
          </w:p>
        </w:tc>
      </w:tr>
      <w:tr>
        <w:tblPrEx>
          <w:tblLayout w:type="fixed"/>
          <w:tblCellMar>
            <w:top w:w="0" w:type="dxa"/>
            <w:left w:w="108" w:type="dxa"/>
            <w:bottom w:w="0" w:type="dxa"/>
            <w:right w:w="108" w:type="dxa"/>
          </w:tblCellMar>
        </w:tblPrEx>
        <w:trPr>
          <w:trHeight w:val="600" w:hRule="atLeast"/>
          <w:jc w:val="center"/>
        </w:trPr>
        <w:tc>
          <w:tcPr>
            <w:tcW w:w="131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合计</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100</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98.87</w:t>
            </w:r>
          </w:p>
        </w:tc>
      </w:tr>
    </w:tbl>
    <w:p>
      <w:pPr>
        <w:rPr>
          <w:rFonts w:hint="eastAsia"/>
          <w:b/>
          <w:bCs/>
          <w:sz w:val="32"/>
          <w:szCs w:val="28"/>
        </w:rPr>
        <w:sectPr>
          <w:pgSz w:w="16838" w:h="11906" w:orient="landscape"/>
          <w:pgMar w:top="1803" w:right="1440" w:bottom="1803" w:left="1440" w:header="851" w:footer="992" w:gutter="0"/>
          <w:cols w:space="425" w:num="1"/>
          <w:docGrid w:type="lines" w:linePitch="312" w:charSpace="0"/>
        </w:sectPr>
      </w:pPr>
    </w:p>
    <w:p>
      <w:pPr>
        <w:rPr>
          <w:b/>
          <w:bCs/>
          <w:sz w:val="36"/>
          <w:szCs w:val="32"/>
        </w:rPr>
        <w:sectPr>
          <w:pgSz w:w="11906" w:h="16838"/>
          <w:pgMar w:top="1440" w:right="1803" w:bottom="1440" w:left="1803" w:header="851" w:footer="992" w:gutter="0"/>
          <w:cols w:space="425" w:num="1"/>
          <w:docGrid w:type="lines" w:linePitch="312" w:charSpace="0"/>
        </w:sectPr>
      </w:pPr>
    </w:p>
    <w:p>
      <w:pPr>
        <w:rPr>
          <w:rFonts w:hint="eastAsia" w:eastAsia="宋体" w:cs="Times New Roman"/>
          <w:b/>
          <w:bCs/>
          <w:sz w:val="32"/>
          <w:szCs w:val="28"/>
        </w:rPr>
      </w:pPr>
      <w:r>
        <w:rPr>
          <w:rFonts w:hint="eastAsia" w:eastAsia="宋体" w:cs="Times New Roman"/>
          <w:b/>
          <w:bCs/>
          <w:sz w:val="32"/>
          <w:szCs w:val="28"/>
        </w:rPr>
        <w:t>附件</w:t>
      </w:r>
      <w:r>
        <w:rPr>
          <w:rFonts w:hint="eastAsia" w:eastAsia="宋体" w:cs="Times New Roman"/>
          <w:b/>
          <w:bCs/>
          <w:sz w:val="32"/>
          <w:szCs w:val="28"/>
          <w:lang w:val="en-US" w:eastAsia="zh-CN"/>
        </w:rPr>
        <w:t>2</w:t>
      </w:r>
      <w:r>
        <w:rPr>
          <w:rFonts w:hint="eastAsia" w:eastAsia="宋体" w:cs="Times New Roman"/>
          <w:b/>
          <w:bCs/>
          <w:sz w:val="32"/>
          <w:szCs w:val="28"/>
        </w:rPr>
        <w:t>：</w:t>
      </w:r>
    </w:p>
    <w:p>
      <w:r>
        <w:drawing>
          <wp:inline distT="0" distB="0" distL="114300" distR="114300">
            <wp:extent cx="5267960" cy="7778115"/>
            <wp:effectExtent l="0" t="0" r="8890"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7960" cy="7778115"/>
                    </a:xfrm>
                    <a:prstGeom prst="rect">
                      <a:avLst/>
                    </a:prstGeom>
                    <a:noFill/>
                    <a:ln>
                      <a:noFill/>
                    </a:ln>
                  </pic:spPr>
                </pic:pic>
              </a:graphicData>
            </a:graphic>
          </wp:inline>
        </w:drawing>
      </w:r>
    </w:p>
    <w:p>
      <w:pPr>
        <w:rPr>
          <w:rFonts w:hint="eastAsia" w:eastAsia="宋体"/>
          <w:b/>
          <w:bCs/>
          <w:sz w:val="36"/>
          <w:szCs w:val="32"/>
          <w:lang w:eastAsia="zh-CN"/>
        </w:rPr>
      </w:pPr>
    </w:p>
    <w:p>
      <w:pPr>
        <w:rPr>
          <w:rFonts w:hint="eastAsia" w:eastAsia="宋体"/>
          <w:b/>
          <w:bCs/>
          <w:sz w:val="36"/>
          <w:szCs w:val="32"/>
          <w:lang w:eastAsia="zh-CN"/>
        </w:rPr>
      </w:pPr>
      <w:r>
        <w:drawing>
          <wp:inline distT="0" distB="0" distL="114300" distR="114300">
            <wp:extent cx="5267960" cy="4359910"/>
            <wp:effectExtent l="0" t="0" r="889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267960" cy="4359910"/>
                    </a:xfrm>
                    <a:prstGeom prst="rect">
                      <a:avLst/>
                    </a:prstGeom>
                    <a:noFill/>
                    <a:ln>
                      <a:noFill/>
                    </a:ln>
                  </pic:spPr>
                </pic:pic>
              </a:graphicData>
            </a:graphic>
          </wp:inline>
        </w:drawing>
      </w:r>
    </w:p>
    <w:sectPr>
      <w:type w:val="continuous"/>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方正书宋简体">
    <w:altName w:val="Arial"/>
    <w:panose1 w:val="00000000000000000000"/>
    <w:charset w:val="00"/>
    <w:family w:val="auto"/>
    <w:pitch w:val="default"/>
    <w:sig w:usb0="00000000" w:usb1="00000000" w:usb2="00000000" w:usb3="00000000" w:csb0="00000000" w:csb1="00000000"/>
  </w:font>
  <w:font w:name="方正小标宋简体">
    <w:altName w:val="汉仪书宋二KW"/>
    <w:panose1 w:val="02000000000000000000"/>
    <w:charset w:val="86"/>
    <w:family w:val="script"/>
    <w:pitch w:val="default"/>
    <w:sig w:usb0="00000000" w:usb1="00000000" w:usb2="00000012" w:usb3="00000000" w:csb0="00040001" w:csb1="00000000"/>
  </w:font>
  <w:font w:name="Wingdings 2">
    <w:altName w:val="Arial"/>
    <w:panose1 w:val="00000000000000000000"/>
    <w:charset w:val="02"/>
    <w:family w:val="auto"/>
    <w:pitch w:val="default"/>
    <w:sig w:usb0="00000000" w:usb1="00000000" w:usb2="00000000" w:usb3="00000000" w:csb0="80000000" w:csb1="00000000"/>
  </w:font>
  <w:font w:name="楷体_GB2312">
    <w:altName w:val="汉仪楷体KW"/>
    <w:panose1 w:val="02010609030101010101"/>
    <w:charset w:val="86"/>
    <w:family w:val="modern"/>
    <w:pitch w:val="default"/>
    <w:sig w:usb0="00000000" w:usb1="00000000" w:usb2="00000000" w:usb3="00000000" w:csb0="00040000" w:csb1="00000000"/>
  </w:font>
  <w:font w:name="方正小标宋_GBK">
    <w:altName w:val="汉仪书宋二KW"/>
    <w:panose1 w:val="02000000000000000000"/>
    <w:charset w:val="86"/>
    <w:family w:val="auto"/>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Noto Sans Symbols2">
    <w:panose1 w:val="020B0502040504020204"/>
    <w:charset w:val="00"/>
    <w:family w:val="auto"/>
    <w:pitch w:val="default"/>
    <w:sig w:usb0="80000003" w:usb1="0200E3E4" w:usb2="00040020" w:usb3="0580A048" w:csb0="00000001" w:csb1="00000000"/>
  </w:font>
  <w:font w:name="汉仪楷体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2</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150"/>
        <w:tab w:val="clear" w:pos="4153"/>
      </w:tabs>
      <w:ind w:right="360"/>
    </w:pPr>
    <w:r>
      <w:pict>
        <v:shape id="_x0000_s1027" o:spid="_x0000_s102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27</w:t>
                </w:r>
                <w:r>
                  <w:fldChar w:fldCharType="end"/>
                </w:r>
              </w:p>
            </w:txbxContent>
          </v:textbox>
        </v:shape>
      </w:pic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spacing w:line="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Y2OGY2Y2I4OGZjYzY5ZjgyMDJhYWU5MTMxZGJhNWIifQ=="/>
  </w:docVars>
  <w:rsids>
    <w:rsidRoot w:val="00461C1D"/>
    <w:rsid w:val="00006F50"/>
    <w:rsid w:val="00315597"/>
    <w:rsid w:val="00461C1D"/>
    <w:rsid w:val="00546365"/>
    <w:rsid w:val="005D1BC9"/>
    <w:rsid w:val="00CA5EBA"/>
    <w:rsid w:val="014063FE"/>
    <w:rsid w:val="018C640C"/>
    <w:rsid w:val="026A4FE5"/>
    <w:rsid w:val="02836A44"/>
    <w:rsid w:val="045D72C7"/>
    <w:rsid w:val="04BF763A"/>
    <w:rsid w:val="0627193B"/>
    <w:rsid w:val="06620434"/>
    <w:rsid w:val="067F3525"/>
    <w:rsid w:val="06976AC0"/>
    <w:rsid w:val="06FE494B"/>
    <w:rsid w:val="07AC2EB4"/>
    <w:rsid w:val="0C057362"/>
    <w:rsid w:val="0C2F6184"/>
    <w:rsid w:val="0F9C5147"/>
    <w:rsid w:val="0FD03043"/>
    <w:rsid w:val="10E5667A"/>
    <w:rsid w:val="112B486A"/>
    <w:rsid w:val="11301FEB"/>
    <w:rsid w:val="114535BD"/>
    <w:rsid w:val="11C44020"/>
    <w:rsid w:val="144E2788"/>
    <w:rsid w:val="14B60A59"/>
    <w:rsid w:val="160D274B"/>
    <w:rsid w:val="16D056D6"/>
    <w:rsid w:val="178766DD"/>
    <w:rsid w:val="179C102A"/>
    <w:rsid w:val="187D7A42"/>
    <w:rsid w:val="18E9618D"/>
    <w:rsid w:val="197C53B5"/>
    <w:rsid w:val="19B762A2"/>
    <w:rsid w:val="1B4A1026"/>
    <w:rsid w:val="1B8A19DF"/>
    <w:rsid w:val="1CDC3027"/>
    <w:rsid w:val="1CDD3710"/>
    <w:rsid w:val="1CE974F2"/>
    <w:rsid w:val="1DB83859"/>
    <w:rsid w:val="1EB379C6"/>
    <w:rsid w:val="1F5F1CED"/>
    <w:rsid w:val="222039B6"/>
    <w:rsid w:val="22AC6FF8"/>
    <w:rsid w:val="234B7932"/>
    <w:rsid w:val="2451313E"/>
    <w:rsid w:val="24BC0A30"/>
    <w:rsid w:val="24F12EF0"/>
    <w:rsid w:val="25FA2770"/>
    <w:rsid w:val="26760048"/>
    <w:rsid w:val="26E127D7"/>
    <w:rsid w:val="275F0ADD"/>
    <w:rsid w:val="27A73C23"/>
    <w:rsid w:val="27B71C90"/>
    <w:rsid w:val="2A622692"/>
    <w:rsid w:val="2AAE265D"/>
    <w:rsid w:val="2B6A5CA2"/>
    <w:rsid w:val="2BA72A52"/>
    <w:rsid w:val="2C9B6AA4"/>
    <w:rsid w:val="2E556795"/>
    <w:rsid w:val="2ED137C3"/>
    <w:rsid w:val="2F670B4E"/>
    <w:rsid w:val="2F6F7D2B"/>
    <w:rsid w:val="2FFBDEFA"/>
    <w:rsid w:val="30002206"/>
    <w:rsid w:val="303E6F6E"/>
    <w:rsid w:val="30CE6CD3"/>
    <w:rsid w:val="31D91D0C"/>
    <w:rsid w:val="3200110E"/>
    <w:rsid w:val="320F1351"/>
    <w:rsid w:val="324C4353"/>
    <w:rsid w:val="32685199"/>
    <w:rsid w:val="32DE1A12"/>
    <w:rsid w:val="32F522F5"/>
    <w:rsid w:val="342509B8"/>
    <w:rsid w:val="34A83397"/>
    <w:rsid w:val="34DA30C0"/>
    <w:rsid w:val="34EF5457"/>
    <w:rsid w:val="3619454C"/>
    <w:rsid w:val="36853990"/>
    <w:rsid w:val="387A61C5"/>
    <w:rsid w:val="38D765E6"/>
    <w:rsid w:val="39D72754"/>
    <w:rsid w:val="39F63BBE"/>
    <w:rsid w:val="3AC21656"/>
    <w:rsid w:val="3B082DE1"/>
    <w:rsid w:val="3B6D615E"/>
    <w:rsid w:val="3B7346FF"/>
    <w:rsid w:val="3BE6ADA7"/>
    <w:rsid w:val="3C145EE2"/>
    <w:rsid w:val="3DE73A6F"/>
    <w:rsid w:val="3DFA0055"/>
    <w:rsid w:val="3EC10729"/>
    <w:rsid w:val="3ED656D0"/>
    <w:rsid w:val="3FA96941"/>
    <w:rsid w:val="3FE7B1E0"/>
    <w:rsid w:val="40097B24"/>
    <w:rsid w:val="40A67324"/>
    <w:rsid w:val="40B97058"/>
    <w:rsid w:val="41582E49"/>
    <w:rsid w:val="4200575B"/>
    <w:rsid w:val="42CE3BBD"/>
    <w:rsid w:val="435E3EE6"/>
    <w:rsid w:val="440062B8"/>
    <w:rsid w:val="46472A10"/>
    <w:rsid w:val="4662784A"/>
    <w:rsid w:val="47060B1D"/>
    <w:rsid w:val="472F1E22"/>
    <w:rsid w:val="4789944A"/>
    <w:rsid w:val="47F210A1"/>
    <w:rsid w:val="48050DD4"/>
    <w:rsid w:val="483E4A97"/>
    <w:rsid w:val="48BA64D9"/>
    <w:rsid w:val="48D7165A"/>
    <w:rsid w:val="49B26D3A"/>
    <w:rsid w:val="4AC408E4"/>
    <w:rsid w:val="4AF60EA8"/>
    <w:rsid w:val="4BE32B5B"/>
    <w:rsid w:val="4D0E02B1"/>
    <w:rsid w:val="4D1D271C"/>
    <w:rsid w:val="4D7C38E7"/>
    <w:rsid w:val="4D9C3AB0"/>
    <w:rsid w:val="4DA44313"/>
    <w:rsid w:val="4DDC6134"/>
    <w:rsid w:val="4E604FB7"/>
    <w:rsid w:val="4EC07803"/>
    <w:rsid w:val="4F113781"/>
    <w:rsid w:val="4F6E3703"/>
    <w:rsid w:val="4FF48EAB"/>
    <w:rsid w:val="50AB3F09"/>
    <w:rsid w:val="50AB4B47"/>
    <w:rsid w:val="50C57353"/>
    <w:rsid w:val="50EC48E0"/>
    <w:rsid w:val="511931FB"/>
    <w:rsid w:val="51870AB3"/>
    <w:rsid w:val="51FF4AE6"/>
    <w:rsid w:val="52320A18"/>
    <w:rsid w:val="52737D6D"/>
    <w:rsid w:val="5302488E"/>
    <w:rsid w:val="532E7431"/>
    <w:rsid w:val="534A60AE"/>
    <w:rsid w:val="53CE67B6"/>
    <w:rsid w:val="543B3790"/>
    <w:rsid w:val="54D758A7"/>
    <w:rsid w:val="55A61638"/>
    <w:rsid w:val="561746ED"/>
    <w:rsid w:val="563D5BDD"/>
    <w:rsid w:val="56574EF1"/>
    <w:rsid w:val="56BE4A22"/>
    <w:rsid w:val="56C1680E"/>
    <w:rsid w:val="57AA2DFF"/>
    <w:rsid w:val="57CAF3E8"/>
    <w:rsid w:val="582E1F9E"/>
    <w:rsid w:val="58584F50"/>
    <w:rsid w:val="590E9EBF"/>
    <w:rsid w:val="593257A1"/>
    <w:rsid w:val="59330FD6"/>
    <w:rsid w:val="596D2D7B"/>
    <w:rsid w:val="5A6220B6"/>
    <w:rsid w:val="5ABC3575"/>
    <w:rsid w:val="5AFE1DDF"/>
    <w:rsid w:val="5B124AE0"/>
    <w:rsid w:val="5B597015"/>
    <w:rsid w:val="5B634300"/>
    <w:rsid w:val="5B8E257C"/>
    <w:rsid w:val="5BDF7432"/>
    <w:rsid w:val="5BDFA87A"/>
    <w:rsid w:val="5D13184D"/>
    <w:rsid w:val="5DEF9272"/>
    <w:rsid w:val="5EBF1CAB"/>
    <w:rsid w:val="5F57386C"/>
    <w:rsid w:val="5F5CD027"/>
    <w:rsid w:val="5F7F7E7F"/>
    <w:rsid w:val="5FB92779"/>
    <w:rsid w:val="5FFB68ED"/>
    <w:rsid w:val="5FFF84E8"/>
    <w:rsid w:val="5FFFE1E5"/>
    <w:rsid w:val="61B76844"/>
    <w:rsid w:val="62487DE4"/>
    <w:rsid w:val="627B5372"/>
    <w:rsid w:val="632C14B3"/>
    <w:rsid w:val="635D341B"/>
    <w:rsid w:val="63E36016"/>
    <w:rsid w:val="644D51C3"/>
    <w:rsid w:val="66187ACD"/>
    <w:rsid w:val="66CFC946"/>
    <w:rsid w:val="67CFEE4B"/>
    <w:rsid w:val="67E1286C"/>
    <w:rsid w:val="69867934"/>
    <w:rsid w:val="69FEEF20"/>
    <w:rsid w:val="6A491919"/>
    <w:rsid w:val="6B086362"/>
    <w:rsid w:val="6B8F02D0"/>
    <w:rsid w:val="6B945E48"/>
    <w:rsid w:val="6BB169FA"/>
    <w:rsid w:val="6BB851CD"/>
    <w:rsid w:val="6C3D028D"/>
    <w:rsid w:val="6DC20735"/>
    <w:rsid w:val="6DF33DBF"/>
    <w:rsid w:val="6E4771A1"/>
    <w:rsid w:val="6EC1305B"/>
    <w:rsid w:val="6F8A97EC"/>
    <w:rsid w:val="6FFF5600"/>
    <w:rsid w:val="72F200EA"/>
    <w:rsid w:val="732A0B70"/>
    <w:rsid w:val="732B52E4"/>
    <w:rsid w:val="73AF7CC3"/>
    <w:rsid w:val="73F41B79"/>
    <w:rsid w:val="73F6356B"/>
    <w:rsid w:val="74AE7C56"/>
    <w:rsid w:val="74EB59B8"/>
    <w:rsid w:val="75954C96"/>
    <w:rsid w:val="763D47CB"/>
    <w:rsid w:val="76F96611"/>
    <w:rsid w:val="777B6159"/>
    <w:rsid w:val="77FA53CA"/>
    <w:rsid w:val="77FF7A54"/>
    <w:rsid w:val="78174088"/>
    <w:rsid w:val="78917997"/>
    <w:rsid w:val="79E27F26"/>
    <w:rsid w:val="7A743D86"/>
    <w:rsid w:val="7AFF318B"/>
    <w:rsid w:val="7B71191C"/>
    <w:rsid w:val="7BDD1145"/>
    <w:rsid w:val="7BFFF151"/>
    <w:rsid w:val="7C6F2178"/>
    <w:rsid w:val="7CB43C54"/>
    <w:rsid w:val="7CFD55F9"/>
    <w:rsid w:val="7D221505"/>
    <w:rsid w:val="7DA71A0B"/>
    <w:rsid w:val="7DBB5BC2"/>
    <w:rsid w:val="7DBD5501"/>
    <w:rsid w:val="7DFE483B"/>
    <w:rsid w:val="7DFE5A9B"/>
    <w:rsid w:val="7E026382"/>
    <w:rsid w:val="7E5C27F5"/>
    <w:rsid w:val="7E9BBB98"/>
    <w:rsid w:val="7EF8F255"/>
    <w:rsid w:val="7F39689A"/>
    <w:rsid w:val="7FA2248A"/>
    <w:rsid w:val="7FD79248"/>
    <w:rsid w:val="7FEFBB9B"/>
    <w:rsid w:val="7FF0E607"/>
    <w:rsid w:val="7FFF87A2"/>
    <w:rsid w:val="94FD7EC6"/>
    <w:rsid w:val="9FEF5F02"/>
    <w:rsid w:val="B337E1A0"/>
    <w:rsid w:val="B8FBC2B5"/>
    <w:rsid w:val="BED96E67"/>
    <w:rsid w:val="BEFD818D"/>
    <w:rsid w:val="CEFE71D6"/>
    <w:rsid w:val="CF3F7E79"/>
    <w:rsid w:val="D7BF8635"/>
    <w:rsid w:val="DB3F401B"/>
    <w:rsid w:val="DC7E373C"/>
    <w:rsid w:val="DFBFBD1A"/>
    <w:rsid w:val="E7AF45F3"/>
    <w:rsid w:val="EEE3E343"/>
    <w:rsid w:val="EF75D069"/>
    <w:rsid w:val="F3BDAAD4"/>
    <w:rsid w:val="F3F50473"/>
    <w:rsid w:val="F5F712B5"/>
    <w:rsid w:val="F5FDF1CB"/>
    <w:rsid w:val="F7F86F83"/>
    <w:rsid w:val="F977F490"/>
    <w:rsid w:val="F9BEE941"/>
    <w:rsid w:val="F9F6910E"/>
    <w:rsid w:val="FA55DA42"/>
    <w:rsid w:val="FAEE494E"/>
    <w:rsid w:val="FBB50E6B"/>
    <w:rsid w:val="FBFF8A42"/>
    <w:rsid w:val="FD7F65B3"/>
    <w:rsid w:val="FDFE1D0E"/>
    <w:rsid w:val="FE2F77D4"/>
    <w:rsid w:val="FEEF55C2"/>
    <w:rsid w:val="FF37AA68"/>
    <w:rsid w:val="FF5BE40C"/>
    <w:rsid w:val="FF7D8EF4"/>
    <w:rsid w:val="FF7F896E"/>
    <w:rsid w:val="FF87F349"/>
    <w:rsid w:val="FFFBB48C"/>
    <w:rsid w:val="FFFE92A8"/>
    <w:rsid w:val="FFFFA9DC"/>
    <w:rsid w:val="FFFFEF3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spacing w:line="413" w:lineRule="auto"/>
      <w:outlineLvl w:val="1"/>
    </w:pPr>
    <w:rPr>
      <w:rFonts w:ascii="Arial" w:hAnsi="Arial" w:eastAsia="黑体"/>
      <w:b/>
      <w:sz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unhideWhenUsed/>
    <w:qFormat/>
    <w:uiPriority w:val="99"/>
    <w:rPr>
      <w:b/>
    </w:rPr>
  </w:style>
  <w:style w:type="paragraph" w:styleId="6">
    <w:name w:val="Plain Text"/>
    <w:basedOn w:val="1"/>
    <w:qFormat/>
    <w:uiPriority w:val="99"/>
    <w:rPr>
      <w:rFonts w:ascii="宋体" w:hAnsi="Courier New"/>
    </w:rPr>
  </w:style>
  <w:style w:type="paragraph" w:styleId="7">
    <w:name w:val="Balloon Text"/>
    <w:basedOn w:val="1"/>
    <w:link w:val="25"/>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Body Text First Indent 2"/>
    <w:basedOn w:val="1"/>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6">
    <w:name w:val="Strong"/>
    <w:basedOn w:val="15"/>
    <w:qFormat/>
    <w:uiPriority w:val="0"/>
    <w:rPr>
      <w:b/>
    </w:rPr>
  </w:style>
  <w:style w:type="paragraph" w:customStyle="1" w:styleId="17">
    <w:name w:val="p0"/>
    <w:basedOn w:val="1"/>
    <w:qFormat/>
    <w:uiPriority w:val="0"/>
    <w:pPr>
      <w:widowControl/>
    </w:pPr>
    <w:rPr>
      <w:rFonts w:eastAsia="仿宋_GB2312"/>
      <w:kern w:val="0"/>
      <w:sz w:val="32"/>
      <w:szCs w:val="21"/>
    </w:rPr>
  </w:style>
  <w:style w:type="character" w:customStyle="1" w:styleId="18">
    <w:name w:val="font41"/>
    <w:basedOn w:val="15"/>
    <w:qFormat/>
    <w:uiPriority w:val="0"/>
    <w:rPr>
      <w:rFonts w:hint="eastAsia" w:ascii="宋体" w:hAnsi="宋体" w:eastAsia="宋体" w:cs="宋体"/>
      <w:b/>
      <w:bCs/>
      <w:color w:val="000000"/>
      <w:sz w:val="20"/>
      <w:szCs w:val="20"/>
      <w:u w:val="none"/>
    </w:rPr>
  </w:style>
  <w:style w:type="character" w:customStyle="1" w:styleId="19">
    <w:name w:val="font11"/>
    <w:basedOn w:val="15"/>
    <w:qFormat/>
    <w:uiPriority w:val="0"/>
    <w:rPr>
      <w:rFonts w:ascii="Arial" w:hAnsi="Arial" w:cs="Arial"/>
      <w:b/>
      <w:bCs/>
      <w:color w:val="000000"/>
      <w:sz w:val="20"/>
      <w:szCs w:val="20"/>
      <w:u w:val="none"/>
    </w:rPr>
  </w:style>
  <w:style w:type="character" w:customStyle="1" w:styleId="20">
    <w:name w:val="font51"/>
    <w:basedOn w:val="15"/>
    <w:qFormat/>
    <w:uiPriority w:val="0"/>
    <w:rPr>
      <w:rFonts w:hint="default" w:ascii="Arial" w:hAnsi="Arial" w:cs="Arial"/>
      <w:b/>
      <w:bCs/>
      <w:color w:val="000000"/>
      <w:sz w:val="20"/>
      <w:szCs w:val="20"/>
      <w:u w:val="none"/>
    </w:rPr>
  </w:style>
  <w:style w:type="character" w:customStyle="1" w:styleId="21">
    <w:name w:val="font31"/>
    <w:basedOn w:val="15"/>
    <w:qFormat/>
    <w:uiPriority w:val="0"/>
    <w:rPr>
      <w:rFonts w:hint="default" w:ascii="方正书宋简体" w:hAnsi="方正书宋简体" w:eastAsia="方正书宋简体" w:cs="方正书宋简体"/>
      <w:color w:val="000000"/>
      <w:sz w:val="18"/>
      <w:szCs w:val="18"/>
      <w:u w:val="none"/>
    </w:r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4">
    <w:name w:val="font61"/>
    <w:basedOn w:val="15"/>
    <w:qFormat/>
    <w:uiPriority w:val="0"/>
    <w:rPr>
      <w:rFonts w:hint="eastAsia" w:ascii="宋体" w:hAnsi="宋体" w:eastAsia="宋体" w:cs="宋体"/>
      <w:color w:val="FF0000"/>
      <w:sz w:val="28"/>
      <w:szCs w:val="28"/>
      <w:u w:val="none"/>
    </w:rPr>
  </w:style>
  <w:style w:type="character" w:customStyle="1" w:styleId="25">
    <w:name w:val="批注框文本 Char"/>
    <w:basedOn w:val="15"/>
    <w:link w:val="7"/>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Pages>
  <Words>12317</Words>
  <Characters>13608</Characters>
  <Lines>1</Lines>
  <Paragraphs>1</Paragraphs>
  <TotalTime>4</TotalTime>
  <ScaleCrop>false</ScaleCrop>
  <LinksUpToDate>false</LinksUpToDate>
  <CharactersWithSpaces>13995</CharactersWithSpaces>
  <Application>WWO_openplatform_20210902171309-902389ccc8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2021-05-16T16:11:00Z</dcterms:created>
  <dc:creator>听说你是六只菠萝</dc:creator>
  <cp:lastModifiedBy>kylin</cp:lastModifiedBy>
  <cp:lastPrinted>2026-02-13T23:16:00Z</cp:lastPrinted>
  <dcterms:modified xsi:type="dcterms:W3CDTF">2026-03-06T15:16:13Z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7577C5BE86FE41B585460E441BFFF48D_13</vt:lpwstr>
  </property>
  <property fmtid="{D5CDD505-2E9C-101B-9397-08002B2CF9AE}" pid="4" name="KSOTemplateDocerSaveRecord">
    <vt:lpwstr>eyJoZGlkIjoiZTM1NDA0M2UwN2MwYTZhYWZhYzk0YWMwZGRlZWRiNDEiLCJ1c2VySWQiOiIxMDQ1MjE5NjU3In0=</vt:lpwstr>
  </property>
  <property fmtid="{D5CDD505-2E9C-101B-9397-08002B2CF9AE}" pid="5" name="woTemplateTypoMode" linkTarget="0">
    <vt:lpwstr>web</vt:lpwstr>
  </property>
  <property fmtid="{D5CDD505-2E9C-101B-9397-08002B2CF9AE}" pid="6" name="woTemplate" linkTarget="0">
    <vt:i4>1</vt:i4>
  </property>
</Properties>
</file>