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34313">
      <w:pPr>
        <w:pStyle w:val="2"/>
        <w:jc w:val="center"/>
        <w:rPr>
          <w:b/>
        </w:rPr>
      </w:pPr>
      <w:bookmarkStart w:id="1" w:name="_GoBack"/>
      <w:bookmarkEnd w:id="1"/>
      <w:bookmarkStart w:id="0" w:name="_Hlk242446221"/>
      <w:r>
        <w:rPr>
          <w:b/>
        </w:rPr>
        <w:t>《南昌市市级行业协会商会换届工作指引（试行）（征求意见稿）》起草说明</w:t>
      </w:r>
      <w:bookmarkEnd w:id="0"/>
    </w:p>
    <w:p w14:paraId="2C70EEFE">
      <w:pPr>
        <w:ind w:firstLine="640"/>
        <w:rPr>
          <w:color w:val="000000"/>
        </w:rPr>
      </w:pPr>
      <w:r>
        <w:rPr>
          <w:color w:val="000000"/>
        </w:rPr>
        <w:t>为加强党对行业协会商会的全面领导，规范行业协会商会换届选举工作，保障会员依法行使民主权利，推动依法自治，根据《社会团体登记管理条例》《江西省社会团体选举工作指引》《江西省省级行业协会商会换届选举工作规程》《江西省省级行业协会商会负责人任职管理办法》有关要求，结合我市实际，南昌市民政局起草形成了《南昌市市级行业协会商会换届工作指引（试行）（征求意见稿）》（以下简称《换届指引》）。现将有关情况说明如下：</w:t>
      </w:r>
    </w:p>
    <w:p w14:paraId="038D5DDE">
      <w:pPr>
        <w:pStyle w:val="3"/>
        <w:ind w:firstLine="640"/>
        <w:rPr>
          <w:rFonts w:hint="eastAsia"/>
        </w:rPr>
      </w:pPr>
      <w:r>
        <w:t>一、制定《换届指引》的必要性和可行性</w:t>
      </w:r>
    </w:p>
    <w:p w14:paraId="6156CE16">
      <w:pPr>
        <w:pStyle w:val="4"/>
        <w:ind w:firstLine="640"/>
      </w:pPr>
      <w:r>
        <w:t>（一）制定《换届指引》是加强党对行业协会商会全面领导、规范换届选举工作的重要制度保障</w:t>
      </w:r>
    </w:p>
    <w:p w14:paraId="5A2D03EC">
      <w:pPr>
        <w:ind w:firstLine="640"/>
        <w:rPr>
          <w:color w:val="000000"/>
        </w:rPr>
      </w:pPr>
      <w:r>
        <w:rPr>
          <w:color w:val="000000"/>
        </w:rPr>
        <w:t>行业协会商会换届是法人治理结构运行的关键环节，直接关系到会员民主权利的保障和组织自身的健康有序发展。加强党对行业协会商会的全面领导，必须把党的领导贯穿换届工作全过程。制定《换届指引》，明确换届工作领导体制、职责分工和程序要求，推动行业协会商会党员负责人和党组织班子成员“双向进入、交叉任职”，有利于确保换届工作始终在党的领导下依法依规进行，是推动行业协会商会依法自治、规范运行的重要制度保障。</w:t>
      </w:r>
    </w:p>
    <w:p w14:paraId="0BFC5E16">
      <w:pPr>
        <w:pStyle w:val="4"/>
        <w:ind w:firstLine="640"/>
      </w:pPr>
      <w:r>
        <w:t>（二）市级行业协会商会换届制度成果亟待通过《换届指引》予以巩固</w:t>
      </w:r>
    </w:p>
    <w:p w14:paraId="6BB2344D">
      <w:pPr>
        <w:ind w:firstLine="640"/>
        <w:rPr>
          <w:color w:val="000000"/>
        </w:rPr>
      </w:pPr>
      <w:r>
        <w:rPr>
          <w:color w:val="000000"/>
        </w:rPr>
        <w:t>近年来，我市行业协会商会不断发展壮大，在服务经济发展、参与社会治理、反映行业诉求等方面发挥了积极作用。部分行业协会商会在换届实践中积累了有益经验，形成了较为规范的做法。但市级层面尚缺乏统一、具体、可操作的换届工作指引。有必要通过制定《换届指引》，系统总结市级行业协会商会换届工作的成熟经验，将经过实践检验、行之有效的做法予以固定和强化，稳定各方预期，推动行业协会商会治理水平整体提升。</w:t>
      </w:r>
    </w:p>
    <w:p w14:paraId="2E8D64A9">
      <w:pPr>
        <w:pStyle w:val="4"/>
        <w:ind w:firstLine="640"/>
      </w:pPr>
      <w:r>
        <w:t>（三）换届实践面临的问题亟待通过《换届指引》予以破解</w:t>
      </w:r>
    </w:p>
    <w:p w14:paraId="015B7673">
      <w:pPr>
        <w:ind w:firstLine="640"/>
        <w:rPr>
          <w:color w:val="000000"/>
        </w:rPr>
      </w:pPr>
      <w:r>
        <w:rPr>
          <w:color w:val="000000"/>
        </w:rPr>
        <w:t>当前，部分市级行业协会商会在换届工作中仍存在一些突出问题：有的未严格按章程规定按时换届；有的换届程序不够规范，会员资格审核、负责人人选酝酿、选举组织等环节存在随意性；有的负责人人选审核把关机制不健全，部门职责边界不够清晰；有的提前或延期换届、届中调整等情形缺乏统一操作口径，实践中容易产生争议。特别是直接登记和已脱钩的行业协会商会，其换届工作由主要行业管理部门负责具体指导监督，更需要明确程序、压实责任。制定《换届指引》，有利于进一步规范换届筹备、选举程序、登记备案等关键流程，为换届实践提供精准政策指引。</w:t>
      </w:r>
    </w:p>
    <w:p w14:paraId="2CDBBF18">
      <w:pPr>
        <w:pStyle w:val="4"/>
        <w:ind w:firstLine="640"/>
      </w:pPr>
      <w:r>
        <w:t>（四）制定《换届指引》的各方面条件已经基本成熟</w:t>
      </w:r>
    </w:p>
    <w:p w14:paraId="053EC0BC">
      <w:pPr>
        <w:ind w:firstLine="640"/>
        <w:rPr>
          <w:color w:val="000000"/>
        </w:rPr>
      </w:pPr>
      <w:r>
        <w:rPr>
          <w:color w:val="000000"/>
        </w:rPr>
        <w:t>《社会团体登记管理条例》对行业协会商会换届和负责人任职管理提出了明确要求。《江西省社会团体选举工作指引》《江西省省级行业协会商会换届选举工作规程》《江西省省级行业协会商会负责人任职管理办法》等省级制度文件，为市级层面制定换届工作指引提供了重要依据和参考。同时，市委社会工作部、各市级行业协会商会党建领导机关、业务主管单位（行业管理部门）在换届工作中已形成较为明确的职责分工和协作机制。社会各界对规范行业协会商会换届工作具有广泛共识，制定《换届指引》的立法时机和制度条件已经基本成熟。</w:t>
      </w:r>
    </w:p>
    <w:p w14:paraId="53749013">
      <w:pPr>
        <w:pStyle w:val="3"/>
        <w:ind w:firstLine="640"/>
        <w:rPr>
          <w:rFonts w:hint="eastAsia"/>
        </w:rPr>
      </w:pPr>
      <w:r>
        <w:t>二、《换届指引》起草过程</w:t>
      </w:r>
    </w:p>
    <w:p w14:paraId="39C80BB2">
      <w:pPr>
        <w:ind w:firstLine="640"/>
        <w:rPr>
          <w:color w:val="000000"/>
        </w:rPr>
      </w:pPr>
      <w:r>
        <w:rPr>
          <w:color w:val="000000"/>
        </w:rPr>
        <w:t>《换届指引》起草工作，大致经历了4个阶段。</w:t>
      </w:r>
    </w:p>
    <w:p w14:paraId="4A758547">
      <w:pPr>
        <w:ind w:firstLine="640"/>
        <w:rPr>
          <w:color w:val="000000"/>
        </w:rPr>
      </w:pPr>
      <w:r>
        <w:rPr>
          <w:rStyle w:val="22"/>
        </w:rPr>
        <w:t>（一）启动阶段。</w:t>
      </w:r>
      <w:r>
        <w:rPr>
          <w:color w:val="000000"/>
        </w:rPr>
        <w:t> 根据《社会团体登记管理条例》和省级有关制度要求，2026年，南昌市民政局牵头拟定《〈南昌市市级行业协会商会换届工作指引（试行）〉起草工作方案》，组建起草组，明确起草工作的责任分工、时间表和路线图，正式启动起草工作。</w:t>
      </w:r>
    </w:p>
    <w:p w14:paraId="1986D7ED">
      <w:pPr>
        <w:ind w:firstLine="640"/>
        <w:rPr>
          <w:color w:val="000000"/>
        </w:rPr>
      </w:pPr>
      <w:r>
        <w:rPr>
          <w:rStyle w:val="22"/>
        </w:rPr>
        <w:t>（二）研究准备阶段。</w:t>
      </w:r>
      <w:r>
        <w:rPr>
          <w:color w:val="000000"/>
        </w:rPr>
        <w:t> 组织学习《江西省社会团体选举工作指引》《江西省省级行业协会商会换届选举工作规程》《江西省省级行业协会商会负责人任职管理办法》等政策文件，开展换届工作专题研究，听取部分行业协会商会、业务主管单位和行业管理部门的意见建议，梳理市级行业协会商会换届工作中的共性问题和制度需求。</w:t>
      </w:r>
    </w:p>
    <w:p w14:paraId="65165E7C">
      <w:pPr>
        <w:ind w:firstLine="640"/>
        <w:rPr>
          <w:color w:val="000000"/>
        </w:rPr>
      </w:pPr>
      <w:r>
        <w:rPr>
          <w:rStyle w:val="22"/>
        </w:rPr>
        <w:t>（三）草案起草阶段。</w:t>
      </w:r>
      <w:r>
        <w:rPr>
          <w:color w:val="000000"/>
        </w:rPr>
        <w:t> 在调研和专题研究基础上，与市委社会工作部、部分业务主管单位（行业管理部门）深入研讨《换届指引》框架内容和具体表述，起草形成《换届指引（草案建议稿）》。</w:t>
      </w:r>
    </w:p>
    <w:p w14:paraId="2633AE83">
      <w:pPr>
        <w:ind w:firstLine="640"/>
        <w:rPr>
          <w:color w:val="000000"/>
        </w:rPr>
      </w:pPr>
      <w:r>
        <w:rPr>
          <w:rStyle w:val="22"/>
        </w:rPr>
        <w:t>（四）征求意见阶段。</w:t>
      </w:r>
      <w:r>
        <w:rPr>
          <w:color w:val="000000"/>
        </w:rPr>
        <w:t> 书面征求市委社会工作部、各市级行业协会商会党建领导机关、业务主管单位（行业管理部门）等意见，逐条研究吸纳，修改形成《换届指引（征求意见稿）》，拟面向社会公开征求意见。</w:t>
      </w:r>
    </w:p>
    <w:p w14:paraId="27BAADE9">
      <w:pPr>
        <w:pStyle w:val="3"/>
        <w:ind w:firstLine="640"/>
        <w:rPr>
          <w:rFonts w:hint="eastAsia"/>
        </w:rPr>
      </w:pPr>
      <w:r>
        <w:t>三、《换届指引》起草思路</w:t>
      </w:r>
    </w:p>
    <w:p w14:paraId="3FAE80B6">
      <w:pPr>
        <w:ind w:firstLine="640"/>
        <w:rPr>
          <w:color w:val="000000"/>
        </w:rPr>
      </w:pPr>
      <w:r>
        <w:rPr>
          <w:color w:val="000000"/>
        </w:rPr>
        <w:t>《换届指引》坚持以习近平新时代中国特色社会主义思想为指导，全面贯彻落实党中央关于加强社会组织党的建设和规范行业协会商会发展的决策部署，结合南昌市实际，系统规范市级行业协会商会换届工作。起草过程主要坚持如下基本要求。</w:t>
      </w:r>
    </w:p>
    <w:p w14:paraId="248CA162">
      <w:pPr>
        <w:ind w:firstLine="640"/>
        <w:rPr>
          <w:color w:val="000000"/>
        </w:rPr>
      </w:pPr>
      <w:r>
        <w:rPr>
          <w:rStyle w:val="22"/>
        </w:rPr>
        <w:t>第一，坚持党的全面领导与依法自治相结合。</w:t>
      </w:r>
      <w:r>
        <w:rPr>
          <w:color w:val="000000"/>
        </w:rPr>
        <w:t> 把加强党对行业协会商会的全面领导贯穿换届工作全过程，明确党组织在换届工作领导小组中的领导作用，推行党员负责人和党组织班子成员“双向进入、交叉任职”，同时尊重会员依法行使民主权利，推动行业协会商会依法自治。</w:t>
      </w:r>
    </w:p>
    <w:p w14:paraId="4217E938">
      <w:pPr>
        <w:ind w:firstLine="640"/>
        <w:rPr>
          <w:color w:val="000000"/>
        </w:rPr>
      </w:pPr>
      <w:r>
        <w:rPr>
          <w:rStyle w:val="22"/>
        </w:rPr>
        <w:t>第二，坚持统一规范与分类指导相结合。</w:t>
      </w:r>
      <w:r>
        <w:rPr>
          <w:color w:val="000000"/>
        </w:rPr>
        <w:t> 对市级行业协会商会换届工作的共性程序作出统一规定，同时针对有业务主管单位、直接登记和已脱钩等不同情形，明确差异化的指导监督职责和负责人人选审核程序，提高制度的针对性和可操作性。</w:t>
      </w:r>
    </w:p>
    <w:p w14:paraId="2A5AE129">
      <w:pPr>
        <w:ind w:firstLine="640"/>
        <w:rPr>
          <w:color w:val="000000"/>
        </w:rPr>
      </w:pPr>
      <w:r>
        <w:rPr>
          <w:rStyle w:val="22"/>
        </w:rPr>
        <w:t>第三，坚持程序公正与权利保障相结合。</w:t>
      </w:r>
      <w:r>
        <w:rPr>
          <w:color w:val="000000"/>
        </w:rPr>
        <w:t> 明确换届选举须召开现场会员（代表）大会，采用无记名投票方式，规范总监票人、监票人、计票人产生和投票、计票、结果宣布等程序，保障会员的选举权和被选举权，确保换届过程公开、公平、公正、规范。</w:t>
      </w:r>
    </w:p>
    <w:p w14:paraId="7B7CB73C">
      <w:pPr>
        <w:ind w:firstLine="640"/>
        <w:rPr>
          <w:color w:val="000000"/>
        </w:rPr>
      </w:pPr>
      <w:r>
        <w:rPr>
          <w:rStyle w:val="22"/>
        </w:rPr>
        <w:t>第四，坚持问题导向与务实可行相结合。</w:t>
      </w:r>
      <w:r>
        <w:rPr>
          <w:color w:val="000000"/>
        </w:rPr>
        <w:t> 针对换届实践中存在的未按时换届、程序不规范、负责人人选审核把关不严、提前或延期换届和届中调整缺乏操作口径等问题，逐项明确制度要求，同时为行业协会商会结合实际探索留出空间。</w:t>
      </w:r>
    </w:p>
    <w:p w14:paraId="7A8E74BA">
      <w:pPr>
        <w:pStyle w:val="3"/>
        <w:ind w:firstLine="640"/>
        <w:rPr>
          <w:rFonts w:hint="eastAsia"/>
        </w:rPr>
      </w:pPr>
      <w:r>
        <w:t>四、《换届指引》的主要内容</w:t>
      </w:r>
    </w:p>
    <w:p w14:paraId="4620EE31">
      <w:pPr>
        <w:ind w:firstLine="640"/>
        <w:rPr>
          <w:color w:val="000000"/>
        </w:rPr>
      </w:pPr>
      <w:r>
        <w:rPr>
          <w:color w:val="000000"/>
        </w:rPr>
        <w:t>制定《换届指引》的目标在于明确换届工作职责分工，规范换届筹备、选举和登记备案程序，保障会员民主权利，推动行业协会商会依法自治、规范运行。《换届指引》共6章、38条，各章依次为总则、换届筹备、选举方式和程序、登记备案、提前（延期）换届和届中调整、附则。主要内容如下：</w:t>
      </w:r>
    </w:p>
    <w:p w14:paraId="785EB9EB">
      <w:pPr>
        <w:ind w:firstLine="640"/>
        <w:rPr>
          <w:color w:val="000000"/>
        </w:rPr>
      </w:pPr>
      <w:r>
        <w:rPr>
          <w:rStyle w:val="22"/>
        </w:rPr>
        <w:t>第一章，总则。</w:t>
      </w:r>
      <w:r>
        <w:rPr>
          <w:color w:val="000000"/>
        </w:rPr>
        <w:t> 本章主要规定了统领各分则的制定目的、定义、适用范围、指导监督职责、双向进入交叉任职要求和基本原则。明确本指引所称换届是指行业协会商会理事会、监事（监事会）任期届满，依照章程和相关规定召开会员大会或会员代表大会，审议表决有关事项，选举产生新一届理事会理事、常务理事、监事（监事会）和负责人的过程。明确市委社会工作部、登记管理机关在法律法规和职责范围内对换届工作进行指导监督；有业务主管单位的行业协会商会，其换届工作由业务主管单位负责具体指导监督；直接登记或已脱钩的行业协会商会，其换届工作由主要行业管理部门负责具体指导监督。强调换届工作应遵循“民主、公开、公平、公正、规范”原则，任何组织和个人不得以任何方式妨碍会员行使选举权和被选举权。</w:t>
      </w:r>
    </w:p>
    <w:p w14:paraId="650F70B1">
      <w:pPr>
        <w:ind w:firstLine="640"/>
        <w:rPr>
          <w:color w:val="000000"/>
        </w:rPr>
      </w:pPr>
      <w:r>
        <w:rPr>
          <w:rStyle w:val="22"/>
          <w:bCs w:val="0"/>
        </w:rPr>
        <w:t>第二章，换届筹备。</w:t>
      </w:r>
      <w:r>
        <w:rPr>
          <w:color w:val="000000"/>
        </w:rPr>
        <w:t> 本章主要规定换届工作领导小组的组建、职责和换届筹备程序。明确行业协会商会理事会应在任期届满前6个月召开会议，成立由理事代表、监事代表、党组织代表和会员代表组成的换届工作领导小组，人数一般为7至11名，且为单数，组长一般由本会党组织书记担任。理事会因故不能履职导致无法正常启动换届工作的，可由党建工作主管单位牵头，主要行业管理部门协同组建换届工作领导小组。明确换届工作领导小组在拟订换届工作方案、梳理会员名册、起草相关报告和草案、酝酿提名负责人建议人选、配合换届审计、发布公告、组织召开换届选举大会、建立选举工作档案等方面的职责。规定换届选举方案和换届工作领导小组成员名单报业务主管单位或主要行业管理部门审核的时限要求，明确负责人人选审核把关、公示、章程修订和会费标准调整审核、会议通知等程序。</w:t>
      </w:r>
    </w:p>
    <w:p w14:paraId="1C632E1D">
      <w:pPr>
        <w:ind w:firstLine="640"/>
        <w:rPr>
          <w:color w:val="000000"/>
        </w:rPr>
      </w:pPr>
      <w:r>
        <w:rPr>
          <w:rStyle w:val="22"/>
        </w:rPr>
        <w:t>第三章，选举方式和程序。 </w:t>
      </w:r>
      <w:r>
        <w:rPr>
          <w:color w:val="000000"/>
        </w:rPr>
        <w:t>本章主要规定换届选举大会的组织和选举程序。明确行业协会商会换届选举须召开现场会员（代表）大会，不得采用通讯方式。会员（代表）大会必须有2/3以上会员（代表）出席方可召开。选举采用无记名投票方式，可实行等额选举，鼓励实行差额选举。理事应获得有选举权的到会会员（或会员代表）1/2以上赞成票方可当选；常务理事、负责人应获得有选举权的到会理事2/3以上赞成票方可当选。明确大会议程包括清点人数、表决通过选举办法、表决通过总监票人、监票人、计票人名单、介绍候选人情况、检查票箱、发票、投票、清点选票、计票、宣布选举结果等环节。</w:t>
      </w:r>
    </w:p>
    <w:p w14:paraId="23ECD306">
      <w:pPr>
        <w:ind w:firstLine="640"/>
        <w:rPr>
          <w:color w:val="000000"/>
        </w:rPr>
      </w:pPr>
      <w:r>
        <w:rPr>
          <w:rStyle w:val="22"/>
        </w:rPr>
        <w:t>第四章，登记备案。 </w:t>
      </w:r>
      <w:r>
        <w:rPr>
          <w:color w:val="000000"/>
        </w:rPr>
        <w:t>本章主要规定换届选举结束后的报告、审核、批复和登记备案程序。明确换届选举结束后20个工作日内，换届工作领导小组应将换届选举结果、会议纪要报业务主管单位或主要行业管理部门。脱钩和直接登记的行业协会商会由市委社会工作部根据前期核准意见对选举结果进行审核，审核通过后予以正式批复，并抄送主要行业管理部门和登记管理机关；有业务主管单位的行业协会商会由业务主管单位对选举结果进行正式批复，并抄送市委社会工作部。明确行业协会商会根据正式批复，在30日内按程序将所需变更登记或备案材料报登记管理机关登记备案。名称、法定代表人、负责人、住所、注册资金、业务范围、行业管理部门等事项发生变化的，应及时办理变更登记或备案；章程修订、会费标准发生变化后，应自会员（代表）大会表决后20个工作日内报登记管理机关重新核准章程。</w:t>
      </w:r>
    </w:p>
    <w:p w14:paraId="4F684167">
      <w:pPr>
        <w:ind w:firstLine="640"/>
        <w:rPr>
          <w:color w:val="000000"/>
        </w:rPr>
      </w:pPr>
      <w:r>
        <w:rPr>
          <w:rStyle w:val="22"/>
        </w:rPr>
        <w:t>第五章，提前（延期）换届和届中调整。</w:t>
      </w:r>
      <w:r>
        <w:rPr>
          <w:color w:val="000000"/>
        </w:rPr>
        <w:t> 本章主要规定提前或延期换届、届中调整或增补理事、监事和负责人的条件和程序。明确理事会每届任期最长不超过5年，应在任期届满前完成换届。因特殊情况需提前或者延期换届的，须由理事会全体理事2/3以上表决通过，在任期届满前3个月召开理事会表决通过，经业务主管单位、主要行业管理部门和市委社会工作部同意后，报登记管理机关备案。提前或延期换届最长不超过1年。明确届中调整或增补理事、监事、常务理事、监事长和负责人的程序要求，规定调整或增补理事、监事应当经会员（代表）大会选举，常务理事的调整由理事会表决通过，监事长的调整由监事会表决通过。明确理事会届中免去负责人职务、届中调整或增补负责人的报告、备案、提名、审核、公示和选举程序。对任期届满未申请延期换届的，明确登记管理机关、业务主管单位和主要行业管理部门的督促和执法配合职责。</w:t>
      </w:r>
    </w:p>
    <w:p w14:paraId="6DA1FD68">
      <w:pPr>
        <w:ind w:firstLine="640"/>
        <w:rPr>
          <w:color w:val="000000"/>
        </w:rPr>
      </w:pPr>
      <w:r>
        <w:rPr>
          <w:rStyle w:val="22"/>
        </w:rPr>
        <w:t>第六章，附则。</w:t>
      </w:r>
      <w:r>
        <w:rPr>
          <w:color w:val="000000"/>
        </w:rPr>
        <w:t> 本章主要规定换届过程中产生内部纠纷的解决途径、行业协会商会合并或终止的情形、未尽事宜的适用依据、解释权和施行时间。明确换届过程中产生内部纠纷，应当由理事会、监事会、党组织协调解决，或引入人民调解机制，通过第三方协调解决；无法协商或调解的，应当通过司法途径解决。对存在会员或者机构规模过小、业务领域划分过细、功能作用较弱、业务交叉重叠等情形的行业协会商会，或存在任务已完成、行业调整需要、运转严重失灵、严重扰乱秩序等情形的行业协会商会，业务主管单位、主要行业管理部门及有关机关应依据《社会团体登记管理条例》第十九条第二款之规定，要求其合并或终止。明确本指引未尽事宜，按《江西省社会团体选举工作指引》《江西省省级行业协会商会换届选举工作规程》有关规定执行，行业协会商会成立登记有关事项参照本指引执行。明确本指引由中共南昌市委社会工作部、南昌市民政局负责解释，自2026年 月 日起施行。</w:t>
      </w:r>
    </w:p>
    <w:p w14:paraId="51BFF97D">
      <w:pPr>
        <w:pStyle w:val="3"/>
        <w:ind w:firstLine="640"/>
        <w:rPr>
          <w:rFonts w:hint="eastAsia"/>
        </w:rPr>
      </w:pPr>
      <w:r>
        <w:rPr>
          <w:rFonts w:hint="eastAsia"/>
        </w:rPr>
        <w:t>五</w:t>
      </w:r>
      <w:r>
        <w:t>、需要说明的问题</w:t>
      </w:r>
    </w:p>
    <w:p w14:paraId="4CD3175C">
      <w:pPr>
        <w:pStyle w:val="4"/>
        <w:ind w:firstLine="640"/>
      </w:pPr>
      <w:r>
        <w:t>（一）关于适用范围</w:t>
      </w:r>
    </w:p>
    <w:p w14:paraId="5934144A">
      <w:pPr>
        <w:ind w:firstLine="640"/>
        <w:rPr>
          <w:color w:val="000000"/>
        </w:rPr>
      </w:pPr>
      <w:r>
        <w:rPr>
          <w:color w:val="000000"/>
        </w:rPr>
        <w:t>《换届指引》适用于在南昌市依法登记的市级行业协会商会。其适用范围涵盖行业协会商会理事会、监事（监事会）任期届满，依照章程和相关规定召开会员大会或会员代表大会，审议表决有关事项，选举产生新一届理事会理事、常务理事、监事（监事会）和负责人的全过程。同时，本指引不仅适用于任期届满的正常换届，也适用于因特殊情况需提前或者延期换届，以及届中调整或增补理事、监事和负责人的情形。</w:t>
      </w:r>
    </w:p>
    <w:p w14:paraId="3DFB3BFE">
      <w:pPr>
        <w:pStyle w:val="4"/>
        <w:ind w:firstLine="640"/>
      </w:pPr>
      <w:r>
        <w:t>（二）关于部门职责分工与负责人人选审核</w:t>
      </w:r>
    </w:p>
    <w:p w14:paraId="6A394255">
      <w:pPr>
        <w:ind w:firstLine="640"/>
        <w:rPr>
          <w:color w:val="000000"/>
        </w:rPr>
      </w:pPr>
      <w:r>
        <w:rPr>
          <w:color w:val="000000"/>
        </w:rPr>
        <w:t>《换届指引》按照职责分工，明确市委社会工作部、登记管理机关、业务主管单位（主要行业管理部门）、党建工作主管单位在换届工作中的指导监督和审核把关职责。登记管理机关主要对拟修改章程、会费标准，理事（常务理事）、负责人数量，负责人是否同一职位已连任超过2届，是否担任其他社会组织理事长（会长）、秘书长或法人，是否对被撤销登记的社会组织或被取缔的非法社会组织负有责任等进行审核把关。业务主管单位或主要行业管理部门主要对负责人人选在行业内的影响力、是否存在不适宜担任负责人人选相关情形等进行审核把关。党建工作主管单位、市委社会工作部对负责人人选的政治表现、任职条件以及党员比例等进行审核把关。对脱钩和直接登记的行业协会商会，负责人人选经主要行业管理部门初审后，对符合条件、材料齐备的，20日内提出初步审核意见并报送市委社会工作部，市委社会工作部对审核合格的人选复核后，统一核准答复主要行业管理部门，并抄送行业协会商会。有业务主管单位的行业协会商会负责人，由业务主管单位负责审核、核准答复。未经核准的负责人人选不得提交换届大会进行选举。</w:t>
      </w:r>
    </w:p>
    <w:p w14:paraId="31B2A686">
      <w:pPr>
        <w:pStyle w:val="4"/>
        <w:ind w:firstLine="640"/>
      </w:pPr>
      <w:r>
        <w:t>（三）关于选举方式和程序</w:t>
      </w:r>
    </w:p>
    <w:p w14:paraId="2DAB2EE2">
      <w:pPr>
        <w:ind w:firstLine="640"/>
        <w:rPr>
          <w:color w:val="000000"/>
        </w:rPr>
      </w:pPr>
      <w:r>
        <w:rPr>
          <w:color w:val="000000"/>
        </w:rPr>
        <w:t>《换届指引》明确，行业协会商会换届选举须召开现场会员（代表）大会，不得采用通讯方式。会员（代表）大会必须有2/3以上会员（代表）出席方可召开。选举采用无记名投票方式，可实行等额选举，鼓励实行差额选举。理事应获得有选举权的到会会员（或会员代表）1/2以上赞成票方可当选；常务理事、负责人应获得有选举权的到会理事2/3以上赞成票方可当选。经审核通过的负责人人选应在换届选举大会召开前向全体会员公示，公示期不少于5个工作日；对公示人选无异议，方可进行选举。这些规定旨在保障选举的公开性、公正性和会员的参与权，确保换届选举程序规范有序。</w:t>
      </w:r>
    </w:p>
    <w:p w14:paraId="1B326387">
      <w:pPr>
        <w:pStyle w:val="4"/>
        <w:ind w:firstLine="640"/>
      </w:pPr>
      <w:r>
        <w:t>（四）关于宣传解读</w:t>
      </w:r>
    </w:p>
    <w:p w14:paraId="7720FA32">
      <w:pPr>
        <w:ind w:firstLine="640"/>
        <w:rPr>
          <w:color w:val="000000"/>
        </w:rPr>
      </w:pPr>
      <w:r>
        <w:rPr>
          <w:color w:val="000000"/>
        </w:rPr>
        <w:t>《换届指引》印发实施后，南昌市民政局将会同市委社会工作部等有关部门向社会公布，通过新闻发布会、培训会、政策解读等多种形式，利用报刊、网络、广播、电视等媒介，组织媒体就《换届指引》的出台背景、起草思路、主要内容、预期效果等进行宣传报道。及时跟踪《换届指引》出台后的各方反应，加大政策解读力度，积极引导社会舆论，主动回应社会关切，统一各方思想认识，凝聚形成社会共识，营造规范有序开展行业协会商会换届工作的良好氛围。</w:t>
      </w:r>
    </w:p>
    <w:p w14:paraId="4EDEF5D7">
      <w:pPr>
        <w:ind w:firstLine="640"/>
        <w:rPr>
          <w:color w:val="000000"/>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font>
  <w:font w:name="宋体">
    <w:altName w:val="仿宋_GB2312"/>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仿宋_GB2312"/>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FangSong_GB2312">
    <w:panose1 w:val="02010609030101010101"/>
    <w:charset w:val="86"/>
    <w:family w:val="auto"/>
    <w:pitch w:val="default"/>
    <w:sig w:usb0="00000001" w:usb1="080E0000" w:usb2="00000000" w:usb3="00000000" w:csb0="00040000" w:csb1="00000000"/>
  </w:font>
  <w:font w:name="FZXiaoBiaoSong-B05">
    <w:panose1 w:val="03000509000000000000"/>
    <w:charset w:val="86"/>
    <w:family w:val="auto"/>
    <w:pitch w:val="default"/>
    <w:sig w:usb0="00000001" w:usb1="080E0000" w:usb2="00000000" w:usb3="00000000" w:csb0="00040000" w:csb1="00000000"/>
  </w:font>
  <w:font w:name="SimHei">
    <w:panose1 w:val="02010609060101010101"/>
    <w:charset w:val="86"/>
    <w:family w:val="auto"/>
    <w:pitch w:val="default"/>
    <w:sig w:usb0="800002BF" w:usb1="38CF7CFA"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KaiTi_GB2312">
    <w:panose1 w:val="02010609030101010101"/>
    <w:charset w:val="86"/>
    <w:family w:val="auto"/>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等线 Light">
    <w:altName w:val="汉仪中等线KW"/>
    <w:panose1 w:val="02010600030101010101"/>
    <w:charset w:val="86"/>
    <w:family w:val="auto"/>
    <w:pitch w:val="default"/>
    <w:sig w:usb0="00000000" w:usb1="00000000" w:usb2="00000016" w:usb3="00000000" w:csb0="0004000F" w:csb1="00000000"/>
  </w:font>
  <w:font w:name="楷体">
    <w:altName w:val="汉仪楷体KW"/>
    <w:panose1 w:val="02010609060101010101"/>
    <w:charset w:val="86"/>
    <w:family w:val="modern"/>
    <w:pitch w:val="default"/>
    <w:sig w:usb0="00000000" w:usb1="00000000" w:usb2="00000016" w:usb3="00000000" w:csb0="00040001" w:csb1="00000000"/>
  </w:font>
  <w:font w:name="等线">
    <w:altName w:val="汉仪中等线KW"/>
    <w:panose1 w:val="02010600030101010101"/>
    <w:charset w:val="86"/>
    <w:family w:val="auto"/>
    <w:pitch w:val="default"/>
    <w:sig w:usb0="00000000" w:usb1="00000000" w:usb2="00000016" w:usb3="00000000" w:csb0="0004000F" w:csb1="00000000"/>
  </w:font>
  <w:font w:name="DengXian">
    <w:altName w:val="汉仪中等线KW"/>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汉仪中等线KW">
    <w:panose1 w:val="01010104010101010101"/>
    <w:charset w:val="86"/>
    <w:family w:val="auto"/>
    <w:pitch w:val="default"/>
    <w:sig w:usb0="800002BF" w:usb1="004F7CFA" w:usb2="00000000" w:usb3="00000000" w:csb0="00040001" w:csb1="00000000"/>
  </w:font>
  <w:font w:name="汉仪楷体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等线 Light">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FBE6E">
    <w:pPr>
      <w:pStyle w:val="10"/>
      <w:framePr w:wrap="around" w:vAnchor="text" w:hAnchor="margin" w:xAlign="center" w:y="1"/>
      <w:ind w:firstLine="360"/>
      <w:rPr>
        <w:rStyle w:val="18"/>
      </w:rPr>
    </w:pPr>
    <w:r>
      <w:fldChar w:fldCharType="begin"/>
    </w:r>
    <w:r>
      <w:rPr>
        <w:rStyle w:val="18"/>
      </w:rPr>
      <w:instrText xml:space="preserve">PAGE  </w:instrText>
    </w:r>
    <w:r>
      <w:fldChar w:fldCharType="separate"/>
    </w:r>
    <w:r>
      <w:rPr>
        <w:rStyle w:val="18"/>
      </w:rPr>
      <w:t>2</w:t>
    </w:r>
    <w:r>
      <w:fldChar w:fldCharType="end"/>
    </w:r>
  </w:p>
  <w:p w14:paraId="64C951FC">
    <w:pPr>
      <w:pStyle w:val="10"/>
      <w:ind w:firstLine="360"/>
      <w:jc w:val="center"/>
    </w:pPr>
  </w:p>
  <w:p w14:paraId="1A5B0A17">
    <w:pPr>
      <w:pStyle w:val="10"/>
      <w:tabs>
        <w:tab w:val="clear" w:pos="4153"/>
      </w:tabs>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CEDC0">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AD1B8">
    <w:pPr>
      <w:pStyle w:val="1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129E8">
    <w:pP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64FC0">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CF154">
    <w:pPr>
      <w:pStyle w:val="11"/>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FmZWVmN2JkM2FlYTM0YTU5MzU4YWNlMjI2MjBlZTYifQ=="/>
  </w:docVars>
  <w:rsids>
    <w:rsidRoot w:val="00BE4E7D"/>
    <w:rsid w:val="00004C93"/>
    <w:rsid w:val="00033046"/>
    <w:rsid w:val="00044103"/>
    <w:rsid w:val="00050363"/>
    <w:rsid w:val="00057E78"/>
    <w:rsid w:val="00095DFD"/>
    <w:rsid w:val="000A0D85"/>
    <w:rsid w:val="000A68AF"/>
    <w:rsid w:val="000E315E"/>
    <w:rsid w:val="000E3FEC"/>
    <w:rsid w:val="00121763"/>
    <w:rsid w:val="001366F7"/>
    <w:rsid w:val="00146FC4"/>
    <w:rsid w:val="00181650"/>
    <w:rsid w:val="00193503"/>
    <w:rsid w:val="001B56DC"/>
    <w:rsid w:val="001C47F4"/>
    <w:rsid w:val="001C4866"/>
    <w:rsid w:val="001C7BEB"/>
    <w:rsid w:val="001E06E8"/>
    <w:rsid w:val="001E1226"/>
    <w:rsid w:val="001E37C3"/>
    <w:rsid w:val="001F63AE"/>
    <w:rsid w:val="00200220"/>
    <w:rsid w:val="0021066C"/>
    <w:rsid w:val="00225820"/>
    <w:rsid w:val="002343DB"/>
    <w:rsid w:val="00240755"/>
    <w:rsid w:val="002423BA"/>
    <w:rsid w:val="002737E2"/>
    <w:rsid w:val="002912B6"/>
    <w:rsid w:val="002E4690"/>
    <w:rsid w:val="00334585"/>
    <w:rsid w:val="00376A38"/>
    <w:rsid w:val="003A738F"/>
    <w:rsid w:val="003B4C30"/>
    <w:rsid w:val="00482A1E"/>
    <w:rsid w:val="004A2CE4"/>
    <w:rsid w:val="004D76E3"/>
    <w:rsid w:val="004E1E33"/>
    <w:rsid w:val="004E4EA7"/>
    <w:rsid w:val="00532283"/>
    <w:rsid w:val="00532659"/>
    <w:rsid w:val="0054179E"/>
    <w:rsid w:val="00547ED5"/>
    <w:rsid w:val="00562CE2"/>
    <w:rsid w:val="005A0751"/>
    <w:rsid w:val="005A3C3B"/>
    <w:rsid w:val="005C031A"/>
    <w:rsid w:val="005C07EE"/>
    <w:rsid w:val="005E2021"/>
    <w:rsid w:val="005E452D"/>
    <w:rsid w:val="0064231A"/>
    <w:rsid w:val="00681EBA"/>
    <w:rsid w:val="00684493"/>
    <w:rsid w:val="006844BB"/>
    <w:rsid w:val="006A067D"/>
    <w:rsid w:val="006A081E"/>
    <w:rsid w:val="006C1DBB"/>
    <w:rsid w:val="006C5309"/>
    <w:rsid w:val="006E3989"/>
    <w:rsid w:val="00706EE8"/>
    <w:rsid w:val="00740373"/>
    <w:rsid w:val="00746816"/>
    <w:rsid w:val="00761602"/>
    <w:rsid w:val="007C2964"/>
    <w:rsid w:val="007C3D77"/>
    <w:rsid w:val="007E13CA"/>
    <w:rsid w:val="007F1338"/>
    <w:rsid w:val="0080203D"/>
    <w:rsid w:val="00860F2A"/>
    <w:rsid w:val="00863C13"/>
    <w:rsid w:val="008971CE"/>
    <w:rsid w:val="008A51D0"/>
    <w:rsid w:val="008A595B"/>
    <w:rsid w:val="008B3AA7"/>
    <w:rsid w:val="008C6452"/>
    <w:rsid w:val="008E35A7"/>
    <w:rsid w:val="008E5B36"/>
    <w:rsid w:val="00903014"/>
    <w:rsid w:val="00906AB0"/>
    <w:rsid w:val="00910CEA"/>
    <w:rsid w:val="009451F2"/>
    <w:rsid w:val="00977C7C"/>
    <w:rsid w:val="00983D14"/>
    <w:rsid w:val="009C112C"/>
    <w:rsid w:val="009C62EF"/>
    <w:rsid w:val="009C6FED"/>
    <w:rsid w:val="009F44F9"/>
    <w:rsid w:val="00A2444C"/>
    <w:rsid w:val="00A524A3"/>
    <w:rsid w:val="00A61E5B"/>
    <w:rsid w:val="00A7049A"/>
    <w:rsid w:val="00A9708F"/>
    <w:rsid w:val="00AD07D9"/>
    <w:rsid w:val="00AE38C5"/>
    <w:rsid w:val="00B11D1E"/>
    <w:rsid w:val="00B13C24"/>
    <w:rsid w:val="00B36DBC"/>
    <w:rsid w:val="00B64AEA"/>
    <w:rsid w:val="00B70678"/>
    <w:rsid w:val="00B80D83"/>
    <w:rsid w:val="00B952E0"/>
    <w:rsid w:val="00BA497F"/>
    <w:rsid w:val="00BA641F"/>
    <w:rsid w:val="00BB634F"/>
    <w:rsid w:val="00BC2DDF"/>
    <w:rsid w:val="00BC505B"/>
    <w:rsid w:val="00BE4E7D"/>
    <w:rsid w:val="00C25E0E"/>
    <w:rsid w:val="00C5299D"/>
    <w:rsid w:val="00C63925"/>
    <w:rsid w:val="00C9336B"/>
    <w:rsid w:val="00CA0E89"/>
    <w:rsid w:val="00CA790B"/>
    <w:rsid w:val="00CA7A11"/>
    <w:rsid w:val="00CD6F6D"/>
    <w:rsid w:val="00CE52A7"/>
    <w:rsid w:val="00CF2409"/>
    <w:rsid w:val="00D021E0"/>
    <w:rsid w:val="00D41071"/>
    <w:rsid w:val="00D761D5"/>
    <w:rsid w:val="00D80E58"/>
    <w:rsid w:val="00DC3370"/>
    <w:rsid w:val="00DC6300"/>
    <w:rsid w:val="00DD0E3B"/>
    <w:rsid w:val="00DE1F68"/>
    <w:rsid w:val="00E01968"/>
    <w:rsid w:val="00E125A2"/>
    <w:rsid w:val="00E30B98"/>
    <w:rsid w:val="00E32143"/>
    <w:rsid w:val="00E47E77"/>
    <w:rsid w:val="00E83470"/>
    <w:rsid w:val="00EC1850"/>
    <w:rsid w:val="00F03BC6"/>
    <w:rsid w:val="00F27E5B"/>
    <w:rsid w:val="00F3782B"/>
    <w:rsid w:val="00F8399C"/>
    <w:rsid w:val="00F8650D"/>
    <w:rsid w:val="00FA3328"/>
    <w:rsid w:val="00FC11FE"/>
    <w:rsid w:val="00FD58DD"/>
    <w:rsid w:val="00FE7DAE"/>
    <w:rsid w:val="0BEF2DEF"/>
    <w:rsid w:val="0EFF2923"/>
    <w:rsid w:val="1016016B"/>
    <w:rsid w:val="107E1380"/>
    <w:rsid w:val="15377869"/>
    <w:rsid w:val="155F1393"/>
    <w:rsid w:val="1AFE4AD2"/>
    <w:rsid w:val="1BDF2910"/>
    <w:rsid w:val="1FF78B06"/>
    <w:rsid w:val="20C6474C"/>
    <w:rsid w:val="21AC206C"/>
    <w:rsid w:val="2578FC14"/>
    <w:rsid w:val="260E5347"/>
    <w:rsid w:val="2A9FED6E"/>
    <w:rsid w:val="2B30709D"/>
    <w:rsid w:val="2DF592F1"/>
    <w:rsid w:val="2DFD0260"/>
    <w:rsid w:val="2F9371AE"/>
    <w:rsid w:val="31B613B8"/>
    <w:rsid w:val="34FFA8B6"/>
    <w:rsid w:val="36424956"/>
    <w:rsid w:val="365E69AC"/>
    <w:rsid w:val="3673841B"/>
    <w:rsid w:val="36FC0B4C"/>
    <w:rsid w:val="37FFD459"/>
    <w:rsid w:val="38221AA1"/>
    <w:rsid w:val="3DBB27E6"/>
    <w:rsid w:val="3DBD9BE1"/>
    <w:rsid w:val="3E1F1CAB"/>
    <w:rsid w:val="3E7E2AA1"/>
    <w:rsid w:val="3F5B7EC6"/>
    <w:rsid w:val="4089619E"/>
    <w:rsid w:val="411403BC"/>
    <w:rsid w:val="440C1321"/>
    <w:rsid w:val="46713DA8"/>
    <w:rsid w:val="48405FAF"/>
    <w:rsid w:val="484D3B04"/>
    <w:rsid w:val="4A4056F2"/>
    <w:rsid w:val="4C2E4C84"/>
    <w:rsid w:val="4E856061"/>
    <w:rsid w:val="4F074A5E"/>
    <w:rsid w:val="4F7D29C0"/>
    <w:rsid w:val="4FEA6469"/>
    <w:rsid w:val="53FCD87F"/>
    <w:rsid w:val="542F4C1C"/>
    <w:rsid w:val="557F72F9"/>
    <w:rsid w:val="57593C4C"/>
    <w:rsid w:val="5760ABD8"/>
    <w:rsid w:val="57F782E2"/>
    <w:rsid w:val="58A361DA"/>
    <w:rsid w:val="59BFFDD4"/>
    <w:rsid w:val="5AD3F16B"/>
    <w:rsid w:val="5D8741A7"/>
    <w:rsid w:val="5E17CAB9"/>
    <w:rsid w:val="5F9E7E44"/>
    <w:rsid w:val="5FF31E19"/>
    <w:rsid w:val="5FFE340E"/>
    <w:rsid w:val="651E7F22"/>
    <w:rsid w:val="676819BA"/>
    <w:rsid w:val="69461782"/>
    <w:rsid w:val="69A11BB8"/>
    <w:rsid w:val="69C36B56"/>
    <w:rsid w:val="69FF8749"/>
    <w:rsid w:val="6BC84060"/>
    <w:rsid w:val="6CC717EC"/>
    <w:rsid w:val="6D171A52"/>
    <w:rsid w:val="6DAE4D80"/>
    <w:rsid w:val="6F5ABF3B"/>
    <w:rsid w:val="6FC02F13"/>
    <w:rsid w:val="6FF241B7"/>
    <w:rsid w:val="72BA14C7"/>
    <w:rsid w:val="72ED4756"/>
    <w:rsid w:val="72F7EFC0"/>
    <w:rsid w:val="73FF9220"/>
    <w:rsid w:val="75EC9D77"/>
    <w:rsid w:val="76237741"/>
    <w:rsid w:val="76BF08A7"/>
    <w:rsid w:val="779B2C68"/>
    <w:rsid w:val="77B6D993"/>
    <w:rsid w:val="77BF4B3B"/>
    <w:rsid w:val="77CCC378"/>
    <w:rsid w:val="77D858AC"/>
    <w:rsid w:val="77F3C94F"/>
    <w:rsid w:val="77FED764"/>
    <w:rsid w:val="796F8B59"/>
    <w:rsid w:val="7B5FDD1E"/>
    <w:rsid w:val="7BDEA862"/>
    <w:rsid w:val="7BDF228B"/>
    <w:rsid w:val="7C505FE3"/>
    <w:rsid w:val="7D77F171"/>
    <w:rsid w:val="7DBB390B"/>
    <w:rsid w:val="7DD64691"/>
    <w:rsid w:val="7DF8E9FD"/>
    <w:rsid w:val="7EBF182E"/>
    <w:rsid w:val="7EECAC42"/>
    <w:rsid w:val="7EFE7208"/>
    <w:rsid w:val="7EFFB1AA"/>
    <w:rsid w:val="7F071CA0"/>
    <w:rsid w:val="7F3F504D"/>
    <w:rsid w:val="7F7EBDA3"/>
    <w:rsid w:val="7F96FBCC"/>
    <w:rsid w:val="7FB90A7A"/>
    <w:rsid w:val="7FBA2F0E"/>
    <w:rsid w:val="7FBA5261"/>
    <w:rsid w:val="7FC4F7AD"/>
    <w:rsid w:val="7FD16BB7"/>
    <w:rsid w:val="7FD94D0F"/>
    <w:rsid w:val="7FDEAE81"/>
    <w:rsid w:val="7FDF8DBA"/>
    <w:rsid w:val="7FEAD3ED"/>
    <w:rsid w:val="7FF21B3E"/>
    <w:rsid w:val="7FFEFCB4"/>
    <w:rsid w:val="88E5A344"/>
    <w:rsid w:val="9237140D"/>
    <w:rsid w:val="97C464F5"/>
    <w:rsid w:val="9DFA4D83"/>
    <w:rsid w:val="9FFDD211"/>
    <w:rsid w:val="9FFFACB9"/>
    <w:rsid w:val="B3F7DE85"/>
    <w:rsid w:val="B57F53F4"/>
    <w:rsid w:val="B6F155F5"/>
    <w:rsid w:val="B7FBE3E4"/>
    <w:rsid w:val="BD6FEED2"/>
    <w:rsid w:val="BF5BDF20"/>
    <w:rsid w:val="BFDD0428"/>
    <w:rsid w:val="BFEF3788"/>
    <w:rsid w:val="BFFD4816"/>
    <w:rsid w:val="C5D37FE1"/>
    <w:rsid w:val="C99FD9B6"/>
    <w:rsid w:val="CBFB358B"/>
    <w:rsid w:val="D74E0574"/>
    <w:rsid w:val="D7DD196E"/>
    <w:rsid w:val="D8F75B6E"/>
    <w:rsid w:val="D9EFEA12"/>
    <w:rsid w:val="DA1D570C"/>
    <w:rsid w:val="DAF1EB31"/>
    <w:rsid w:val="DDFA9BD7"/>
    <w:rsid w:val="DEFBA569"/>
    <w:rsid w:val="DF9C09A8"/>
    <w:rsid w:val="DFE6EFE0"/>
    <w:rsid w:val="DFE7B789"/>
    <w:rsid w:val="DFF5DD06"/>
    <w:rsid w:val="DFF94CA1"/>
    <w:rsid w:val="DFFF36FA"/>
    <w:rsid w:val="E3EBABD1"/>
    <w:rsid w:val="E6DE3439"/>
    <w:rsid w:val="E6F7FEFB"/>
    <w:rsid w:val="EBBF6AAC"/>
    <w:rsid w:val="ECFC348C"/>
    <w:rsid w:val="EF3FD021"/>
    <w:rsid w:val="EF6AF981"/>
    <w:rsid w:val="EF73D1B9"/>
    <w:rsid w:val="EFB79616"/>
    <w:rsid w:val="EFEF6DB9"/>
    <w:rsid w:val="EFEFB830"/>
    <w:rsid w:val="EFF53035"/>
    <w:rsid w:val="F1373FC1"/>
    <w:rsid w:val="F1DFE273"/>
    <w:rsid w:val="F35E0880"/>
    <w:rsid w:val="F3DFDD81"/>
    <w:rsid w:val="F3FDC09B"/>
    <w:rsid w:val="F57FB81B"/>
    <w:rsid w:val="F62770FD"/>
    <w:rsid w:val="F7DFF172"/>
    <w:rsid w:val="F7FF0B35"/>
    <w:rsid w:val="FADF464A"/>
    <w:rsid w:val="FB778FC6"/>
    <w:rsid w:val="FD72DFEB"/>
    <w:rsid w:val="FDC7474A"/>
    <w:rsid w:val="FDFD2BEF"/>
    <w:rsid w:val="FEBF9B14"/>
    <w:rsid w:val="FECD3083"/>
    <w:rsid w:val="FED59E32"/>
    <w:rsid w:val="FEEF53A0"/>
    <w:rsid w:val="FEFFCBC7"/>
    <w:rsid w:val="FF5614C8"/>
    <w:rsid w:val="FF5F26EA"/>
    <w:rsid w:val="FF6F2F14"/>
    <w:rsid w:val="FF77CC37"/>
    <w:rsid w:val="FF7DE199"/>
    <w:rsid w:val="FFBEFB52"/>
    <w:rsid w:val="FFBF4C78"/>
    <w:rsid w:val="FFFE8488"/>
    <w:rsid w:val="FFFF0311"/>
    <w:rsid w:val="FFFF2571"/>
    <w:rsid w:val="FFFF9BEB"/>
    <w:rsid w:val="FFFFFA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 w:cs="Times New Roman"/>
      <w:kern w:val="2"/>
      <w:sz w:val="32"/>
      <w:szCs w:val="24"/>
      <w:lang w:val="en-US" w:eastAsia="zh-CN" w:bidi="ar-SA"/>
    </w:rPr>
  </w:style>
  <w:style w:type="paragraph" w:styleId="2">
    <w:name w:val="heading 1"/>
    <w:basedOn w:val="1"/>
    <w:next w:val="1"/>
    <w:link w:val="20"/>
    <w:qFormat/>
    <w:uiPriority w:val="9"/>
    <w:pPr>
      <w:keepNext/>
      <w:keepLines/>
      <w:snapToGrid w:val="0"/>
      <w:ind w:firstLine="0" w:firstLineChars="0"/>
      <w:outlineLvl w:val="0"/>
    </w:pPr>
    <w:rPr>
      <w:rFonts w:eastAsia="方正小标宋简体"/>
      <w:bCs/>
      <w:kern w:val="44"/>
      <w:sz w:val="44"/>
      <w:szCs w:val="44"/>
    </w:rPr>
  </w:style>
  <w:style w:type="paragraph" w:styleId="3">
    <w:name w:val="heading 2"/>
    <w:basedOn w:val="1"/>
    <w:next w:val="1"/>
    <w:link w:val="21"/>
    <w:qFormat/>
    <w:uiPriority w:val="9"/>
    <w:pPr>
      <w:keepNext/>
      <w:keepLines/>
      <w:outlineLvl w:val="1"/>
    </w:pPr>
    <w:rPr>
      <w:rFonts w:ascii="等线 Light" w:hAnsi="等线 Light" w:eastAsia="黑体"/>
      <w:bCs/>
      <w:szCs w:val="32"/>
    </w:rPr>
  </w:style>
  <w:style w:type="paragraph" w:styleId="4">
    <w:name w:val="heading 3"/>
    <w:basedOn w:val="1"/>
    <w:next w:val="1"/>
    <w:link w:val="22"/>
    <w:qFormat/>
    <w:uiPriority w:val="9"/>
    <w:pPr>
      <w:keepNext/>
      <w:keepLines/>
      <w:outlineLvl w:val="2"/>
    </w:pPr>
    <w:rPr>
      <w:rFonts w:eastAsia="楷体"/>
      <w:bCs/>
      <w:szCs w:val="32"/>
    </w:rPr>
  </w:style>
  <w:style w:type="paragraph" w:styleId="5">
    <w:name w:val="heading 4"/>
    <w:basedOn w:val="1"/>
    <w:next w:val="1"/>
    <w:link w:val="23"/>
    <w:qFormat/>
    <w:uiPriority w:val="9"/>
    <w:pPr>
      <w:keepNext/>
      <w:keepLines/>
      <w:spacing w:before="280" w:after="290" w:line="376" w:lineRule="auto"/>
      <w:outlineLvl w:val="3"/>
    </w:pPr>
    <w:rPr>
      <w:rFonts w:ascii="等线 Light" w:hAnsi="等线 Light" w:eastAsia="等线 Light"/>
      <w:b/>
      <w:bCs/>
      <w:sz w:val="28"/>
      <w:szCs w:val="28"/>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6">
    <w:name w:val="annotation text"/>
    <w:basedOn w:val="1"/>
    <w:unhideWhenUsed/>
    <w:uiPriority w:val="99"/>
    <w:pPr>
      <w:jc w:val="left"/>
    </w:pPr>
  </w:style>
  <w:style w:type="paragraph" w:styleId="7">
    <w:name w:val="toc 3"/>
    <w:basedOn w:val="1"/>
    <w:next w:val="1"/>
    <w:unhideWhenUsed/>
    <w:uiPriority w:val="39"/>
    <w:pPr>
      <w:widowControl/>
      <w:spacing w:after="100" w:line="259" w:lineRule="auto"/>
      <w:ind w:left="440"/>
      <w:jc w:val="left"/>
    </w:pPr>
    <w:rPr>
      <w:rFonts w:ascii="等线" w:hAnsi="等线" w:eastAsia="等线"/>
      <w:kern w:val="0"/>
      <w:sz w:val="22"/>
      <w:szCs w:val="22"/>
    </w:rPr>
  </w:style>
  <w:style w:type="paragraph" w:styleId="8">
    <w:name w:val="Date"/>
    <w:basedOn w:val="1"/>
    <w:next w:val="1"/>
    <w:link w:val="31"/>
    <w:semiHidden/>
    <w:unhideWhenUsed/>
    <w:uiPriority w:val="99"/>
    <w:pPr>
      <w:ind w:left="100" w:leftChars="2500"/>
    </w:pPr>
  </w:style>
  <w:style w:type="paragraph" w:styleId="9">
    <w:name w:val="Balloon Text"/>
    <w:basedOn w:val="1"/>
    <w:link w:val="24"/>
    <w:unhideWhenUsed/>
    <w:uiPriority w:val="99"/>
    <w:rPr>
      <w:sz w:val="18"/>
      <w:szCs w:val="18"/>
    </w:rPr>
  </w:style>
  <w:style w:type="paragraph" w:styleId="10">
    <w:name w:val="footer"/>
    <w:basedOn w:val="1"/>
    <w:link w:val="25"/>
    <w:unhideWhenUsed/>
    <w:uiPriority w:val="99"/>
    <w:pPr>
      <w:tabs>
        <w:tab w:val="center" w:pos="4153"/>
        <w:tab w:val="right" w:pos="8306"/>
      </w:tabs>
      <w:snapToGrid w:val="0"/>
      <w:jc w:val="left"/>
    </w:pPr>
    <w:rPr>
      <w:sz w:val="18"/>
      <w:szCs w:val="18"/>
    </w:rPr>
  </w:style>
  <w:style w:type="paragraph" w:styleId="11">
    <w:name w:val="header"/>
    <w:basedOn w:val="1"/>
    <w:link w:val="26"/>
    <w:unhideWhenUsed/>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uiPriority w:val="39"/>
    <w:pPr>
      <w:widowControl/>
      <w:spacing w:after="100" w:line="259" w:lineRule="auto"/>
      <w:jc w:val="left"/>
    </w:pPr>
    <w:rPr>
      <w:rFonts w:ascii="等线" w:hAnsi="等线" w:eastAsia="等线"/>
      <w:kern w:val="0"/>
      <w:sz w:val="22"/>
      <w:szCs w:val="22"/>
    </w:rPr>
  </w:style>
  <w:style w:type="paragraph" w:styleId="13">
    <w:name w:val="toc 2"/>
    <w:basedOn w:val="1"/>
    <w:next w:val="1"/>
    <w:unhideWhenUsed/>
    <w:uiPriority w:val="39"/>
    <w:pPr>
      <w:widowControl/>
      <w:spacing w:after="100" w:line="259" w:lineRule="auto"/>
      <w:ind w:left="220"/>
      <w:jc w:val="left"/>
    </w:pPr>
    <w:rPr>
      <w:rFonts w:ascii="等线" w:hAnsi="等线" w:eastAsia="等线"/>
      <w:kern w:val="0"/>
      <w:sz w:val="22"/>
      <w:szCs w:val="22"/>
    </w:rPr>
  </w:style>
  <w:style w:type="paragraph" w:styleId="14">
    <w:name w:val="Normal (Web)"/>
    <w:basedOn w:val="1"/>
    <w:unhideWhenUsed/>
    <w:uiPriority w:val="99"/>
    <w:pPr>
      <w:spacing w:before="100" w:beforeAutospacing="1" w:after="100" w:afterAutospacing="1"/>
      <w:jc w:val="left"/>
    </w:pPr>
    <w:rPr>
      <w:kern w:val="0"/>
      <w:sz w:val="24"/>
    </w:rPr>
  </w:style>
  <w:style w:type="character" w:styleId="17">
    <w:name w:val="Strong"/>
    <w:qFormat/>
    <w:uiPriority w:val="0"/>
    <w:rPr>
      <w:b/>
    </w:rPr>
  </w:style>
  <w:style w:type="character" w:styleId="18">
    <w:name w:val="page number"/>
    <w:uiPriority w:val="0"/>
  </w:style>
  <w:style w:type="character" w:styleId="19">
    <w:name w:val="Hyperlink"/>
    <w:unhideWhenUsed/>
    <w:uiPriority w:val="99"/>
    <w:rPr>
      <w:color w:val="467886"/>
      <w:u w:val="single"/>
    </w:rPr>
  </w:style>
  <w:style w:type="character" w:customStyle="1" w:styleId="20">
    <w:name w:val="标题 1 字符"/>
    <w:link w:val="2"/>
    <w:uiPriority w:val="9"/>
    <w:rPr>
      <w:rFonts w:eastAsia="方正小标宋简体"/>
      <w:bCs/>
      <w:kern w:val="44"/>
      <w:sz w:val="44"/>
      <w:szCs w:val="44"/>
    </w:rPr>
  </w:style>
  <w:style w:type="character" w:customStyle="1" w:styleId="21">
    <w:name w:val="标题 2 字符"/>
    <w:link w:val="3"/>
    <w:uiPriority w:val="9"/>
    <w:rPr>
      <w:rFonts w:ascii="等线 Light" w:hAnsi="等线 Light" w:eastAsia="黑体"/>
      <w:bCs/>
      <w:kern w:val="2"/>
      <w:sz w:val="32"/>
      <w:szCs w:val="32"/>
    </w:rPr>
  </w:style>
  <w:style w:type="character" w:customStyle="1" w:styleId="22">
    <w:name w:val="标题 3 字符"/>
    <w:link w:val="4"/>
    <w:uiPriority w:val="9"/>
    <w:rPr>
      <w:rFonts w:eastAsia="楷体"/>
      <w:bCs/>
      <w:kern w:val="2"/>
      <w:sz w:val="32"/>
      <w:szCs w:val="32"/>
    </w:rPr>
  </w:style>
  <w:style w:type="character" w:customStyle="1" w:styleId="23">
    <w:name w:val="标题 4 字符"/>
    <w:link w:val="5"/>
    <w:uiPriority w:val="9"/>
    <w:rPr>
      <w:rFonts w:ascii="等线 Light" w:hAnsi="等线 Light" w:eastAsia="等线 Light" w:cs="Times New Roman"/>
      <w:b/>
      <w:bCs/>
      <w:kern w:val="2"/>
      <w:sz w:val="28"/>
      <w:szCs w:val="28"/>
    </w:rPr>
  </w:style>
  <w:style w:type="character" w:customStyle="1" w:styleId="24">
    <w:name w:val="批注框文本 字符"/>
    <w:link w:val="9"/>
    <w:semiHidden/>
    <w:uiPriority w:val="99"/>
    <w:rPr>
      <w:kern w:val="2"/>
      <w:sz w:val="18"/>
      <w:szCs w:val="18"/>
    </w:rPr>
  </w:style>
  <w:style w:type="character" w:customStyle="1" w:styleId="25">
    <w:name w:val="页脚 字符"/>
    <w:link w:val="10"/>
    <w:uiPriority w:val="99"/>
    <w:rPr>
      <w:rFonts w:ascii="Times New Roman" w:hAnsi="Times New Roman" w:eastAsia="宋体" w:cs="Times New Roman"/>
      <w:sz w:val="18"/>
      <w:szCs w:val="18"/>
    </w:rPr>
  </w:style>
  <w:style w:type="character" w:customStyle="1" w:styleId="26">
    <w:name w:val="页眉 字符"/>
    <w:link w:val="11"/>
    <w:uiPriority w:val="99"/>
    <w:rPr>
      <w:rFonts w:ascii="Times New Roman" w:hAnsi="Times New Roman" w:eastAsia="宋体" w:cs="Times New Roman"/>
      <w:sz w:val="18"/>
      <w:szCs w:val="18"/>
    </w:rPr>
  </w:style>
  <w:style w:type="paragraph" w:customStyle="1" w:styleId="27">
    <w:name w:val="p0"/>
    <w:basedOn w:val="1"/>
    <w:uiPriority w:val="0"/>
    <w:pPr>
      <w:widowControl/>
    </w:pPr>
    <w:rPr>
      <w:kern w:val="0"/>
      <w:szCs w:val="21"/>
    </w:rPr>
  </w:style>
  <w:style w:type="paragraph" w:customStyle="1" w:styleId="28">
    <w:name w:val="Revision"/>
    <w:unhideWhenUsed/>
    <w:uiPriority w:val="99"/>
    <w:rPr>
      <w:rFonts w:ascii="Times New Roman" w:hAnsi="Times New Roman" w:eastAsia="宋体" w:cs="Times New Roman"/>
      <w:kern w:val="2"/>
      <w:sz w:val="21"/>
      <w:szCs w:val="24"/>
      <w:lang w:val="en-US" w:eastAsia="zh-CN" w:bidi="ar-SA"/>
    </w:rPr>
  </w:style>
  <w:style w:type="paragraph" w:customStyle="1" w:styleId="29">
    <w:name w:val="TOC Heading"/>
    <w:basedOn w:val="2"/>
    <w:next w:val="1"/>
    <w:qFormat/>
    <w:uiPriority w:val="39"/>
    <w:pPr>
      <w:widowControl/>
      <w:spacing w:before="240" w:line="259" w:lineRule="auto"/>
      <w:jc w:val="left"/>
      <w:outlineLvl w:val="9"/>
    </w:pPr>
    <w:rPr>
      <w:rFonts w:ascii="等线 Light" w:hAnsi="等线 Light" w:eastAsia="等线 Light"/>
      <w:b/>
      <w:bCs w:val="0"/>
      <w:color w:val="0F4761"/>
      <w:kern w:val="0"/>
      <w:sz w:val="32"/>
      <w:szCs w:val="32"/>
    </w:rPr>
  </w:style>
  <w:style w:type="character" w:customStyle="1" w:styleId="30">
    <w:name w:val="Unresolved Mention"/>
    <w:basedOn w:val="16"/>
    <w:semiHidden/>
    <w:unhideWhenUsed/>
    <w:uiPriority w:val="99"/>
    <w:rPr>
      <w:color w:val="605E5C"/>
      <w:shd w:val="clear" w:color="auto" w:fill="E1DFDD"/>
    </w:rPr>
  </w:style>
  <w:style w:type="character" w:customStyle="1" w:styleId="31">
    <w:name w:val="日期 字符"/>
    <w:basedOn w:val="16"/>
    <w:link w:val="8"/>
    <w:semiHidden/>
    <w:uiPriority w:val="99"/>
    <w:rPr>
      <w:kern w:val="2"/>
      <w:sz w:val="21"/>
      <w:szCs w:val="24"/>
    </w:rPr>
  </w:style>
  <w:style w:type="paragraph" w:customStyle="1" w:styleId="32">
    <w:name w:val="样式1"/>
    <w:basedOn w:val="2"/>
    <w:link w:val="33"/>
    <w:uiPriority w:val="0"/>
    <w:pPr>
      <w:jc w:val="center"/>
    </w:pPr>
    <w:rPr>
      <w:rFonts w:ascii="方正小标宋简体" w:hAnsiTheme="majorHAnsi" w:cstheme="majorBidi"/>
      <w:bCs w:val="0"/>
      <w:kern w:val="2"/>
    </w:rPr>
  </w:style>
  <w:style w:type="character" w:customStyle="1" w:styleId="33">
    <w:name w:val="样式1 字符"/>
    <w:basedOn w:val="20"/>
    <w:link w:val="32"/>
    <w:uiPriority w:val="0"/>
    <w:rPr>
      <w:rFonts w:ascii="方正小标宋简体" w:eastAsia="方正小标宋简体" w:hAnsiTheme="majorHAnsi" w:cstheme="majorBidi"/>
      <w:bCs w:val="0"/>
      <w:kern w:val="2"/>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1624</Words>
  <Characters>9258</Characters>
  <Lines>77</Lines>
  <Paragraphs>21</Paragraphs>
  <TotalTime>86</TotalTime>
  <ScaleCrop>false</ScaleCrop>
  <LinksUpToDate>false</LinksUpToDate>
  <CharactersWithSpaces>10861</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2026-09-11T15:46:00Z</dcterms:created>
  <dc:creator>pc</dc:creator>
  <cp:lastModifiedBy>肖子韵୧(๑•̀⌄•́๑)૭</cp:lastModifiedBy>
  <cp:lastPrinted>2026-09-11T17:14:00Z</cp:lastPrinted>
  <dcterms:modified xsi:type="dcterms:W3CDTF">2026-10-12T10:43:55Z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14ED2CA389674096B6B41E3FC1B646FC_13</vt:lpwstr>
  </property>
  <property fmtid="{D5CDD505-2E9C-101B-9397-08002B2CF9AE}" pid="4" name="KSOTemplateDocerSaveRecord">
    <vt:lpwstr>eyJoZGlkIjoiZGE2YTA4N2YxNWNjMmIwNDMzODc4ZjYyN2NjMTIwZTgiLCJ1c2VySWQiOiIyMzk0MjkxNzQifQ==</vt:lpwstr>
  </property>
</Properties>
</file>