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2FCEC">
      <w:pPr>
        <w:pStyle w:val="2"/>
        <w:jc w:val="center"/>
        <w:rPr>
          <w:rFonts w:ascii="方正小标宋简体" w:eastAsia="方正小标宋简体"/>
          <w:b w:val="0"/>
          <w:bCs w:val="0"/>
        </w:rPr>
      </w:pPr>
      <w:bookmarkStart w:id="0" w:name="_GoBack"/>
      <w:r>
        <w:rPr>
          <w:rFonts w:hint="eastAsia" w:ascii="方正小标宋简体" w:eastAsia="方正小标宋简体"/>
          <w:b w:val="0"/>
          <w:bCs w:val="0"/>
        </w:rPr>
        <w:t>关于《南昌市市级行业协会商会章程示范文本（征求意见稿）》的起草说明</w:t>
      </w:r>
      <w:bookmarkEnd w:id="0"/>
    </w:p>
    <w:p w14:paraId="1DDDE79E">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为深入贯彻落实党的二十届四中全会精神，不断加强行业协会商会规范化管理，引导行业协会商会建立健全以章程为核心的现代法人治理结构和运行机制，依据《社会团体登记管理条例》《江西省行业协会管理办法》《民政部办公厅关于印发〈全国性行业协会商会章程示范文本〉的通知》（民办发〔2024〕11号）《江西省民政厅关于印发〈省级行业协会商会章程示范文本〉的通知》（赣民规字〔2026〕2号）等有关法律法规和政策文件，南昌市民政局结合工作实际，研究起草了《南昌市市级行业协会商会章程示范文本》（以下简称《示范文本》）。现就有关情况说明如下。</w:t>
      </w:r>
    </w:p>
    <w:p w14:paraId="650B51DE">
      <w:pPr>
        <w:spacing w:line="600" w:lineRule="exact"/>
        <w:ind w:firstLine="640" w:firstLineChars="200"/>
        <w:rPr>
          <w:rFonts w:hint="eastAsia" w:ascii="黑体" w:hAnsi="黑体" w:eastAsia="黑体"/>
          <w:color w:val="000000"/>
          <w:sz w:val="32"/>
          <w:szCs w:val="32"/>
        </w:rPr>
      </w:pPr>
      <w:r>
        <w:rPr>
          <w:rFonts w:ascii="黑体" w:hAnsi="黑体" w:eastAsia="黑体"/>
          <w:color w:val="000000"/>
          <w:sz w:val="32"/>
          <w:szCs w:val="32"/>
        </w:rPr>
        <w:t>一、起草背景</w:t>
      </w:r>
    </w:p>
    <w:p w14:paraId="7E5097B3">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行业协会商会是市场经济体系的重要组成部分，在服务企业发展、优化资源配置、加强行业自律、创新社会治理等方面发挥着不可替代的作用。近年来，南昌市行业协会商会数量持续增长，覆盖面不断扩大，已成为推动全市经济社会高质量发展的重要力量。但与此同时，部分行业协会商会在内部治理、民主建设、财务管理等方面仍存在制度不健全、运行不规范等问题，亟需通过制度化的章程示范文本加以引导和规范。</w:t>
      </w:r>
    </w:p>
    <w:p w14:paraId="74D89700">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为加强和坚持党对行业协会商会工作的全面领导，贯彻落实党的二十届四中全会对社会组织领域重大改革作出的安排部署，以及民政部2024年《全国性行业协会商会章程示范文本》的工作要求，南昌市民政局参照省级行业协会商会章程示范文本，结合本市行业协会商会发展实际，研究制定了《示范文本》，进一步规范行业协会商会的内部治理，加强内部民主建设，推动行业协会商会不断提高依法自治水平，促进全市行业协会商会规范、健康、有序、高质量发展。</w:t>
      </w:r>
    </w:p>
    <w:p w14:paraId="3425C746">
      <w:pPr>
        <w:spacing w:line="600" w:lineRule="exact"/>
        <w:ind w:firstLine="640" w:firstLineChars="200"/>
        <w:rPr>
          <w:rFonts w:hint="eastAsia" w:ascii="黑体" w:hAnsi="黑体" w:eastAsia="黑体"/>
          <w:color w:val="000000"/>
          <w:sz w:val="32"/>
          <w:szCs w:val="32"/>
        </w:rPr>
      </w:pPr>
      <w:r>
        <w:rPr>
          <w:rFonts w:ascii="黑体" w:hAnsi="黑体" w:eastAsia="黑体"/>
          <w:color w:val="000000"/>
          <w:sz w:val="32"/>
          <w:szCs w:val="32"/>
        </w:rPr>
        <w:t>二、起草依据</w:t>
      </w:r>
    </w:p>
    <w:p w14:paraId="285A8E0A">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《示范文本》起草的主要依据包括：</w:t>
      </w:r>
    </w:p>
    <w:p w14:paraId="3507E5A8">
      <w:pPr>
        <w:spacing w:line="600" w:lineRule="exact"/>
        <w:ind w:left="709"/>
        <w:rPr>
          <w:rFonts w:hint="eastAsia" w:ascii="仿宋" w:hAnsi="仿宋" w:eastAsia="仿宋"/>
          <w:color w:val="000000"/>
          <w:sz w:val="32"/>
          <w:szCs w:val="32"/>
        </w:rPr>
      </w:pPr>
      <w:r>
        <w:rPr>
          <w:rFonts w:hint="eastAsia" w:ascii="仿宋" w:hAnsi="仿宋" w:eastAsia="仿宋"/>
          <w:color w:val="000000"/>
          <w:sz w:val="32"/>
          <w:szCs w:val="32"/>
        </w:rPr>
        <w:t>1.</w:t>
      </w:r>
      <w:r>
        <w:rPr>
          <w:rFonts w:ascii="仿宋" w:hAnsi="仿宋" w:eastAsia="仿宋"/>
          <w:color w:val="000000"/>
          <w:sz w:val="32"/>
          <w:szCs w:val="32"/>
        </w:rPr>
        <w:t>《社会团体登记管理条例》；</w:t>
      </w:r>
    </w:p>
    <w:p w14:paraId="0B023793">
      <w:pPr>
        <w:spacing w:line="600" w:lineRule="exact"/>
        <w:ind w:left="709"/>
        <w:rPr>
          <w:rFonts w:hint="eastAsia" w:ascii="仿宋" w:hAnsi="仿宋" w:eastAsia="仿宋"/>
          <w:color w:val="000000"/>
          <w:sz w:val="32"/>
          <w:szCs w:val="32"/>
        </w:rPr>
      </w:pPr>
      <w:r>
        <w:rPr>
          <w:rFonts w:hint="eastAsia" w:ascii="仿宋" w:hAnsi="仿宋" w:eastAsia="仿宋"/>
          <w:color w:val="000000"/>
          <w:sz w:val="32"/>
          <w:szCs w:val="32"/>
        </w:rPr>
        <w:t>2.</w:t>
      </w:r>
      <w:r>
        <w:rPr>
          <w:rFonts w:ascii="仿宋" w:hAnsi="仿宋" w:eastAsia="仿宋"/>
          <w:color w:val="000000"/>
          <w:sz w:val="32"/>
          <w:szCs w:val="32"/>
        </w:rPr>
        <w:t>《江西省行业协会管理办法》；</w:t>
      </w:r>
    </w:p>
    <w:p w14:paraId="6F1AB833">
      <w:pPr>
        <w:spacing w:line="600" w:lineRule="exact"/>
        <w:ind w:left="709"/>
        <w:rPr>
          <w:rFonts w:hint="eastAsia" w:ascii="仿宋" w:hAnsi="仿宋" w:eastAsia="仿宋"/>
          <w:color w:val="000000"/>
          <w:sz w:val="32"/>
          <w:szCs w:val="32"/>
        </w:rPr>
      </w:pPr>
      <w:r>
        <w:rPr>
          <w:rFonts w:hint="eastAsia" w:ascii="仿宋" w:hAnsi="仿宋" w:eastAsia="仿宋"/>
          <w:color w:val="000000"/>
          <w:sz w:val="32"/>
          <w:szCs w:val="32"/>
        </w:rPr>
        <w:t>3.</w:t>
      </w:r>
      <w:r>
        <w:rPr>
          <w:rFonts w:ascii="仿宋" w:hAnsi="仿宋" w:eastAsia="仿宋"/>
          <w:color w:val="000000"/>
          <w:sz w:val="32"/>
          <w:szCs w:val="32"/>
        </w:rPr>
        <w:t>《江西省省级行业协会商会换届选举工作规程》；</w:t>
      </w:r>
    </w:p>
    <w:p w14:paraId="6F196666">
      <w:pPr>
        <w:spacing w:line="600" w:lineRule="exact"/>
        <w:ind w:left="709"/>
        <w:rPr>
          <w:rFonts w:hint="eastAsia" w:ascii="仿宋" w:hAnsi="仿宋" w:eastAsia="仿宋"/>
          <w:color w:val="000000"/>
          <w:sz w:val="32"/>
          <w:szCs w:val="32"/>
        </w:rPr>
      </w:pPr>
      <w:r>
        <w:rPr>
          <w:rFonts w:hint="eastAsia" w:ascii="仿宋" w:hAnsi="仿宋" w:eastAsia="仿宋"/>
          <w:color w:val="000000"/>
          <w:sz w:val="32"/>
          <w:szCs w:val="32"/>
        </w:rPr>
        <w:t>4.</w:t>
      </w:r>
      <w:r>
        <w:rPr>
          <w:rFonts w:ascii="仿宋" w:hAnsi="仿宋" w:eastAsia="仿宋"/>
          <w:color w:val="000000"/>
          <w:sz w:val="32"/>
          <w:szCs w:val="32"/>
        </w:rPr>
        <w:t>《民政部办公厅关于印发〈全国性行业协会商会章程示范文本〉的通知》（民办发〔2024〕11号）；</w:t>
      </w:r>
    </w:p>
    <w:p w14:paraId="3C7A4A38">
      <w:pPr>
        <w:spacing w:line="600" w:lineRule="exact"/>
        <w:ind w:left="709"/>
        <w:rPr>
          <w:rFonts w:hint="eastAsia" w:ascii="仿宋" w:hAnsi="仿宋" w:eastAsia="仿宋"/>
          <w:color w:val="000000"/>
          <w:sz w:val="32"/>
          <w:szCs w:val="32"/>
        </w:rPr>
      </w:pPr>
      <w:r>
        <w:rPr>
          <w:rFonts w:hint="eastAsia" w:ascii="仿宋" w:hAnsi="仿宋" w:eastAsia="仿宋"/>
          <w:color w:val="000000"/>
          <w:sz w:val="32"/>
          <w:szCs w:val="32"/>
        </w:rPr>
        <w:t>5.</w:t>
      </w:r>
      <w:r>
        <w:rPr>
          <w:rFonts w:ascii="仿宋" w:hAnsi="仿宋" w:eastAsia="仿宋"/>
          <w:color w:val="000000"/>
          <w:sz w:val="32"/>
          <w:szCs w:val="32"/>
        </w:rPr>
        <w:t>《江西省民政厅关于印发〈省级行业协会商会章程示范文本〉的通知》（赣民规字〔2026〕2号）。</w:t>
      </w:r>
    </w:p>
    <w:p w14:paraId="3A7E273A">
      <w:pPr>
        <w:spacing w:line="600" w:lineRule="exact"/>
        <w:ind w:firstLine="640" w:firstLineChars="200"/>
        <w:rPr>
          <w:rFonts w:hint="eastAsia" w:ascii="黑体" w:hAnsi="黑体" w:eastAsia="黑体"/>
          <w:color w:val="000000"/>
          <w:sz w:val="32"/>
          <w:szCs w:val="32"/>
        </w:rPr>
      </w:pPr>
      <w:r>
        <w:rPr>
          <w:rFonts w:ascii="黑体" w:hAnsi="黑体" w:eastAsia="黑体"/>
          <w:color w:val="000000"/>
          <w:sz w:val="32"/>
          <w:szCs w:val="32"/>
        </w:rPr>
        <w:t>三、主要内容</w:t>
      </w:r>
    </w:p>
    <w:p w14:paraId="14B3B098">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《示范文本》共10章99条，重点突出以下内容：</w:t>
      </w:r>
    </w:p>
    <w:p w14:paraId="4C8A6680">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第一章“总则”</w:t>
      </w:r>
      <w:r>
        <w:rPr>
          <w:rFonts w:ascii="Calibri" w:hAnsi="Calibri" w:eastAsia="仿宋" w:cs="Calibri"/>
          <w:color w:val="000000"/>
          <w:sz w:val="32"/>
          <w:szCs w:val="32"/>
        </w:rPr>
        <w:t> </w:t>
      </w:r>
      <w:r>
        <w:rPr>
          <w:rFonts w:ascii="仿宋" w:hAnsi="仿宋" w:eastAsia="仿宋"/>
          <w:color w:val="000000"/>
          <w:sz w:val="32"/>
          <w:szCs w:val="32"/>
        </w:rPr>
        <w:t>，共6条。明确行业协会商会应将坚持中国共产党的全面领导，遵守宪法、法律、法规和国家政策，践行社会主义核心价值观，弘扬爱国主义精神，遵守社会道德风尚，自觉加强诚信自律建设。明确名称、宗旨、住所、登记管理机关、党建工作主管单位、行业管理部门等信息，突出党的建设和社会主义核心价值观有关内容。</w:t>
      </w:r>
    </w:p>
    <w:p w14:paraId="748B0793">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第二章“党建工作”</w:t>
      </w:r>
      <w:r>
        <w:rPr>
          <w:rFonts w:ascii="Calibri" w:hAnsi="Calibri" w:eastAsia="仿宋" w:cs="Calibri"/>
          <w:color w:val="000000"/>
          <w:sz w:val="32"/>
          <w:szCs w:val="32"/>
        </w:rPr>
        <w:t> </w:t>
      </w:r>
      <w:r>
        <w:rPr>
          <w:rFonts w:ascii="仿宋" w:hAnsi="仿宋" w:eastAsia="仿宋"/>
          <w:color w:val="000000"/>
          <w:sz w:val="32"/>
          <w:szCs w:val="32"/>
        </w:rPr>
        <w:t>，共9条。明确设立党组织的行业协会商会党建工作有关要求、主要任务等内容，坚持和加强党对社会组织工作的全面领导。要求实行“双向进入、交叉任职”，党组织书记应参加或列席会员（代表）大会、理事会（常务理事会）、会长（秘书长）办公会等有关会议，支持建立工会、共青团、妇联组织。</w:t>
      </w:r>
    </w:p>
    <w:p w14:paraId="14AE92C2">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第三章“业务范围”</w:t>
      </w:r>
      <w:r>
        <w:rPr>
          <w:rFonts w:ascii="Calibri" w:hAnsi="Calibri" w:eastAsia="仿宋" w:cs="Calibri"/>
          <w:color w:val="000000"/>
          <w:sz w:val="32"/>
          <w:szCs w:val="32"/>
        </w:rPr>
        <w:t> </w:t>
      </w:r>
      <w:r>
        <w:rPr>
          <w:rFonts w:ascii="仿宋" w:hAnsi="仿宋" w:eastAsia="仿宋"/>
          <w:color w:val="000000"/>
          <w:sz w:val="32"/>
          <w:szCs w:val="32"/>
        </w:rPr>
        <w:t>，共2条。规定了行业协会商会的主要业务和服务内容的制定要求，明确业务范围应简练概括，符合本行业协会的性质和特点，并明确禁止实施强制入会、歧视性待遇、排除限制竞争等行为。</w:t>
      </w:r>
    </w:p>
    <w:p w14:paraId="0840D5CD">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第四章“会员”</w:t>
      </w:r>
      <w:r>
        <w:rPr>
          <w:rFonts w:ascii="Calibri" w:hAnsi="Calibri" w:eastAsia="仿宋" w:cs="Calibri"/>
          <w:color w:val="000000"/>
          <w:sz w:val="32"/>
          <w:szCs w:val="32"/>
        </w:rPr>
        <w:t> </w:t>
      </w:r>
      <w:r>
        <w:rPr>
          <w:rFonts w:ascii="仿宋" w:hAnsi="仿宋" w:eastAsia="仿宋"/>
          <w:color w:val="000000"/>
          <w:sz w:val="32"/>
          <w:szCs w:val="32"/>
        </w:rPr>
        <w:t>，共11条。规定会员的类型、范围、入会程序、权利和义务、退会及会员资格丧失等内容。明确单位会员应涵盖本市行业内具有代表性的企业、经济组织，兼顾不同规模、所有制形式和区域分布，确保行业广泛性和代表性。</w:t>
      </w:r>
    </w:p>
    <w:p w14:paraId="3A56CB3A">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第五章“组织机构”</w:t>
      </w:r>
      <w:r>
        <w:rPr>
          <w:rFonts w:ascii="Calibri" w:hAnsi="Calibri" w:eastAsia="仿宋" w:cs="Calibri"/>
          <w:color w:val="000000"/>
          <w:sz w:val="32"/>
          <w:szCs w:val="32"/>
        </w:rPr>
        <w:t> </w:t>
      </w:r>
      <w:r>
        <w:rPr>
          <w:rFonts w:ascii="仿宋" w:hAnsi="仿宋" w:eastAsia="仿宋"/>
          <w:color w:val="000000"/>
          <w:sz w:val="32"/>
          <w:szCs w:val="32"/>
        </w:rPr>
        <w:t>，共7节。规定会员（代表）大会、理事会、常务理事会、负责人、监事（会）、分支机构（代表机构）等设置内容，同时要求建立各项内部管理制度和矛盾解决机制。</w:t>
      </w:r>
    </w:p>
    <w:p w14:paraId="2EBF3AED">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第一节“会员（代表）大会”，共5条。明确会员（代表）大会为最高权力机构，规定其届期、召开条件、决议生效条件、职权等内容。</w:t>
      </w:r>
    </w:p>
    <w:p w14:paraId="79445B2E">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第二节“理事会”，共8条。明确理事会为执行机构，规定理事人数上限、任期、职权、会议制度、理事的选举和罢免等内容。</w:t>
      </w:r>
    </w:p>
    <w:p w14:paraId="4E6ADFAF">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第三节“常务理事会”，共4条。明确常务理事会的设立条件、组成、职权和议事规则，规定常务理事会与理事会任期相同、同时换届。</w:t>
      </w:r>
    </w:p>
    <w:p w14:paraId="75140CAB">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四节“负责人”，共9条。明确负责人范围、任职条件、选举产生方式、任期、法定代表人制度、理事长和秘书长职权等内容。重点完善负责人任职与换届条款，明确会长、秘书长、法定代表人等负责人常规连任不得突破两届限制，细化市级负责人人数上限。</w:t>
      </w:r>
    </w:p>
    <w:p w14:paraId="1D3702FF">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第五节“监事（或监事会）”，共8条。明确监事或监事会的设立要求、权利和义务、选举和罢免程序、会议制度等内容。设常务理事会的，应设立监事会，监事人数须在3人以上。</w:t>
      </w:r>
    </w:p>
    <w:p w14:paraId="627AA250">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第六节“分支机构、代表机构”，共6条。明确分支机构、代表机构的设立原则、名称规范、负责人任职条件、财务管理等内容，规定分支机构、代表机构不具有法人资格，不得另行制订章程。</w:t>
      </w:r>
    </w:p>
    <w:p w14:paraId="15B1C150">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第七节“内部管理制度和矛盾解决机制”，共4条。要求建立各项内部管理制度，完善相关管理规程，明确证书、印章、档案管理等要求和内部矛盾解决途径。</w:t>
      </w:r>
    </w:p>
    <w:p w14:paraId="5F51E344">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第六章“财产的管理和使用”</w:t>
      </w:r>
      <w:r>
        <w:rPr>
          <w:rFonts w:ascii="Calibri" w:hAnsi="Calibri" w:eastAsia="仿宋" w:cs="Calibri"/>
          <w:color w:val="000000"/>
          <w:sz w:val="32"/>
          <w:szCs w:val="32"/>
        </w:rPr>
        <w:t> </w:t>
      </w:r>
      <w:r>
        <w:rPr>
          <w:rFonts w:ascii="仿宋" w:hAnsi="仿宋" w:eastAsia="仿宋"/>
          <w:color w:val="000000"/>
          <w:sz w:val="32"/>
          <w:szCs w:val="32"/>
        </w:rPr>
        <w:t>，共11条。明确行业协会商会的收入来源、收入使用范围、会费收取和管理、重大资产配置处置决策程序及责任、财务审计、会计制度，以及理事会（常务理事会）、负责人、法定代表人在资产管理中的责任等内容。聚焦资产管理，确保协会商会资产的非营利属性，对资产的处置要接受各方面的监督。</w:t>
      </w:r>
    </w:p>
    <w:p w14:paraId="6388934C">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第七章“年度检查、重大事项报告及信息公开”</w:t>
      </w:r>
      <w:r>
        <w:rPr>
          <w:rFonts w:ascii="Calibri" w:hAnsi="Calibri" w:eastAsia="仿宋" w:cs="Calibri"/>
          <w:color w:val="000000"/>
          <w:sz w:val="32"/>
          <w:szCs w:val="32"/>
        </w:rPr>
        <w:t> </w:t>
      </w:r>
      <w:r>
        <w:rPr>
          <w:rFonts w:ascii="仿宋" w:hAnsi="仿宋" w:eastAsia="仿宋"/>
          <w:color w:val="000000"/>
          <w:sz w:val="32"/>
          <w:szCs w:val="32"/>
        </w:rPr>
        <w:t>，共4条。明确要求履行信息公开义务，建立内部信息公示制度、新闻发言人制度和信用承诺制度，定期向会员公开经费收支、会费标准、决议决定等信息，及时向社会公开登记事项、章程、接受捐赠等信息。</w:t>
      </w:r>
    </w:p>
    <w:p w14:paraId="0987C485">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第八章“章程的修改程序”</w:t>
      </w:r>
      <w:r>
        <w:rPr>
          <w:rFonts w:ascii="Calibri" w:hAnsi="Calibri" w:eastAsia="仿宋" w:cs="Calibri"/>
          <w:color w:val="000000"/>
          <w:sz w:val="32"/>
          <w:szCs w:val="32"/>
        </w:rPr>
        <w:t> </w:t>
      </w:r>
      <w:r>
        <w:rPr>
          <w:rFonts w:ascii="仿宋" w:hAnsi="仿宋" w:eastAsia="仿宋"/>
          <w:color w:val="000000"/>
          <w:sz w:val="32"/>
          <w:szCs w:val="32"/>
        </w:rPr>
        <w:t>，共2条。明确章程的修改需经理事会表决通过后提交会员（代表）大会审议，经会员（代表）大会到会会员（代表）2/3以上表决通过后，报党建工作主管单位审核同意后，在30日内报登记管理机关核准，并自登记管理机关核准后30日内向社会公开。</w:t>
      </w:r>
    </w:p>
    <w:p w14:paraId="388AEA19">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第九章“终止和剩余财产处理”</w:t>
      </w:r>
      <w:r>
        <w:rPr>
          <w:rFonts w:ascii="Calibri" w:hAnsi="Calibri" w:eastAsia="仿宋" w:cs="Calibri"/>
          <w:color w:val="000000"/>
          <w:sz w:val="32"/>
          <w:szCs w:val="32"/>
        </w:rPr>
        <w:t> </w:t>
      </w:r>
      <w:r>
        <w:rPr>
          <w:rFonts w:ascii="仿宋" w:hAnsi="仿宋" w:eastAsia="仿宋"/>
          <w:color w:val="000000"/>
          <w:sz w:val="32"/>
          <w:szCs w:val="32"/>
        </w:rPr>
        <w:t>，共4条。明确行业协会商会的终止情形、终止程序、清算义务、剩余财产处置等内容。规定终止时须向行业管理部门（业务主管单位）和登记管理机关报告，剩余财产用于公益性或非营利性目的。</w:t>
      </w:r>
    </w:p>
    <w:p w14:paraId="44439B5F">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第十章“附则”</w:t>
      </w:r>
      <w:r>
        <w:rPr>
          <w:rFonts w:ascii="Calibri" w:hAnsi="Calibri" w:eastAsia="仿宋" w:cs="Calibri"/>
          <w:color w:val="000000"/>
          <w:sz w:val="32"/>
          <w:szCs w:val="32"/>
        </w:rPr>
        <w:t> </w:t>
      </w:r>
      <w:r>
        <w:rPr>
          <w:rFonts w:ascii="仿宋" w:hAnsi="仿宋" w:eastAsia="仿宋"/>
          <w:color w:val="000000"/>
          <w:sz w:val="32"/>
          <w:szCs w:val="32"/>
        </w:rPr>
        <w:t>，共4条。明确章程的表决通过程序、解释权归属、修改程序和生效条件等内容。</w:t>
      </w:r>
    </w:p>
    <w:p w14:paraId="70AC60A1">
      <w:pPr>
        <w:spacing w:line="600" w:lineRule="exact"/>
        <w:ind w:firstLine="640" w:firstLineChars="200"/>
        <w:rPr>
          <w:rFonts w:hint="eastAsia" w:ascii="黑体" w:hAnsi="黑体" w:eastAsia="黑体"/>
          <w:color w:val="000000"/>
          <w:sz w:val="32"/>
          <w:szCs w:val="32"/>
        </w:rPr>
      </w:pPr>
      <w:r>
        <w:rPr>
          <w:rFonts w:ascii="黑体" w:hAnsi="黑体" w:eastAsia="黑体"/>
          <w:color w:val="000000"/>
          <w:sz w:val="32"/>
          <w:szCs w:val="32"/>
        </w:rPr>
        <w:t>四、主要特点</w:t>
      </w:r>
    </w:p>
    <w:p w14:paraId="2003E784">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一是强化党组织核心地位。</w:t>
      </w:r>
      <w:r>
        <w:rPr>
          <w:rFonts w:ascii="Calibri" w:hAnsi="Calibri" w:eastAsia="仿宋" w:cs="Calibri"/>
          <w:color w:val="000000"/>
          <w:sz w:val="32"/>
          <w:szCs w:val="32"/>
        </w:rPr>
        <w:t> </w:t>
      </w:r>
      <w:r>
        <w:rPr>
          <w:rFonts w:ascii="仿宋" w:hAnsi="仿宋" w:eastAsia="仿宋"/>
          <w:color w:val="000000"/>
          <w:sz w:val="32"/>
          <w:szCs w:val="32"/>
        </w:rPr>
        <w:t>设立“党建工作”专章（第二章），明确行业协会商会要坚持和加强党的全面领导，增强社会组织党组织的政治功能和组织功能，要求实行“双向进入、交叉任职”，党组织参与理事会重大决策，确保党的路线方针政策在行业协会商会中得到贯彻执行。</w:t>
      </w:r>
    </w:p>
    <w:p w14:paraId="50D58380">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二是规范法人治理机制。</w:t>
      </w:r>
      <w:r>
        <w:rPr>
          <w:rFonts w:ascii="Calibri" w:hAnsi="Calibri" w:eastAsia="仿宋" w:cs="Calibri"/>
          <w:color w:val="000000"/>
          <w:sz w:val="32"/>
          <w:szCs w:val="32"/>
        </w:rPr>
        <w:t> </w:t>
      </w:r>
      <w:r>
        <w:rPr>
          <w:rFonts w:ascii="仿宋" w:hAnsi="仿宋" w:eastAsia="仿宋"/>
          <w:color w:val="000000"/>
          <w:sz w:val="32"/>
          <w:szCs w:val="32"/>
        </w:rPr>
        <w:t>明确会员（代表）大会、理事会、常务理事会、监事会等机构的产生方式、职权与议事规则，形成权责清晰的制衡体系。规定负责人（理事长、秘书长等）、监事的任职条件、任期与回避制度，如不得兼任其他社团法定代表人、避免近亲属同单位任职等。</w:t>
      </w:r>
    </w:p>
    <w:p w14:paraId="2A22A975">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三是细化市级管理要求。</w:t>
      </w:r>
      <w:r>
        <w:rPr>
          <w:rFonts w:ascii="Calibri" w:hAnsi="Calibri" w:eastAsia="仿宋" w:cs="Calibri"/>
          <w:color w:val="000000"/>
          <w:sz w:val="32"/>
          <w:szCs w:val="32"/>
        </w:rPr>
        <w:t> </w:t>
      </w:r>
      <w:r>
        <w:rPr>
          <w:rFonts w:ascii="仿宋" w:hAnsi="仿宋" w:eastAsia="仿宋"/>
          <w:color w:val="000000"/>
          <w:sz w:val="32"/>
          <w:szCs w:val="32"/>
        </w:rPr>
        <w:t>结合南昌市行业协会商会管理实际，在负责人人数上限、任职年龄、连任届次等方面作出具体规定，明确市、区（县）分层级负责人人数上限，以章程范本的刚性约束规范内部治理。</w:t>
      </w:r>
    </w:p>
    <w:p w14:paraId="0ECBACD2">
      <w:pPr>
        <w:spacing w:line="600" w:lineRule="exact"/>
        <w:ind w:firstLine="640" w:firstLineChars="200"/>
        <w:rPr>
          <w:rFonts w:hint="eastAsia" w:ascii="仿宋" w:hAnsi="仿宋" w:eastAsia="仿宋"/>
          <w:color w:val="000000"/>
          <w:sz w:val="32"/>
          <w:szCs w:val="32"/>
        </w:rPr>
      </w:pPr>
      <w:r>
        <w:rPr>
          <w:rFonts w:ascii="仿宋" w:hAnsi="仿宋" w:eastAsia="仿宋"/>
          <w:color w:val="000000"/>
          <w:sz w:val="32"/>
          <w:szCs w:val="32"/>
        </w:rPr>
        <w:t>四是衔接登记管理要求。</w:t>
      </w:r>
      <w:r>
        <w:rPr>
          <w:rFonts w:ascii="Calibri" w:hAnsi="Calibri" w:eastAsia="仿宋" w:cs="Calibri"/>
          <w:color w:val="000000"/>
          <w:sz w:val="32"/>
          <w:szCs w:val="32"/>
        </w:rPr>
        <w:t> </w:t>
      </w:r>
      <w:r>
        <w:rPr>
          <w:rFonts w:ascii="仿宋" w:hAnsi="仿宋" w:eastAsia="仿宋"/>
          <w:color w:val="000000"/>
          <w:sz w:val="32"/>
          <w:szCs w:val="32"/>
        </w:rPr>
        <w:t>明确党建工作需接受市委社会工作部的统一领导，同时要求章程修改、负责人变动、法定代表人变更、提前或延期换届等事项需向党建工作主管单位及市委社会工作部报备或核准，确保监管落地。</w:t>
      </w:r>
    </w:p>
    <w:p w14:paraId="36B1BA6C">
      <w:pPr>
        <w:spacing w:line="600" w:lineRule="exact"/>
        <w:ind w:firstLine="640" w:firstLineChars="200"/>
        <w:rPr>
          <w:rFonts w:hint="eastAsia" w:ascii="黑体" w:hAnsi="黑体" w:eastAsia="黑体"/>
          <w:color w:val="000000"/>
          <w:sz w:val="32"/>
          <w:szCs w:val="32"/>
        </w:rPr>
      </w:pPr>
      <w:r>
        <w:rPr>
          <w:rFonts w:ascii="黑体" w:hAnsi="黑体" w:eastAsia="黑体"/>
          <w:color w:val="000000"/>
          <w:sz w:val="32"/>
          <w:szCs w:val="32"/>
        </w:rPr>
        <w:t>五、适用范围</w:t>
      </w:r>
    </w:p>
    <w:p w14:paraId="6DE72174">
      <w:pPr>
        <w:rPr>
          <w:color w:val="000000"/>
        </w:rPr>
      </w:pPr>
      <w:r>
        <w:rPr>
          <w:rFonts w:ascii="仿宋" w:hAnsi="仿宋" w:eastAsia="仿宋"/>
          <w:color w:val="000000"/>
          <w:sz w:val="32"/>
          <w:szCs w:val="32"/>
        </w:rPr>
        <w:t>《示范文本》适用于南昌市市级行业协会商会。各县区（开发区、湾里管理局）民政部门可参照本示范文本，结合自身实际，抓好本级行业协会商会章程的规范和修订工作。已登记成立的市级行业协会商会应参照本示范文本制定章程，召开会员大会或者会员代表大会审议通过，并按照程序办理章程核准手续。</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仿宋_GB2312"/>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仿宋_GB2312"/>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SimHei">
    <w:panose1 w:val="02010609060101010101"/>
    <w:charset w:val="86"/>
    <w:family w:val="auto"/>
    <w:pitch w:val="default"/>
    <w:sig w:usb0="800002BF" w:usb1="38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KaiTi_GB2312">
    <w:panose1 w:val="02010609030101010101"/>
    <w:charset w:val="86"/>
    <w:family w:val="auto"/>
    <w:pitch w:val="default"/>
    <w:sig w:usb0="00000001" w:usb1="080E0000" w:usb2="0000000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CESI楷体-GB13000">
    <w:altName w:val="楷体_GB2312"/>
    <w:panose1 w:val="00000000000000000000"/>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80000287" w:usb1="280F3C52" w:usb2="00000016" w:usb3="00000000" w:csb0="0004001F" w:csb1="00000000"/>
  </w:font>
  <w:font w:name="仿宋">
    <w:altName w:val="仿宋_GB2312"/>
    <w:panose1 w:val="02010609060101010101"/>
    <w:charset w:val="86"/>
    <w:family w:val="modern"/>
    <w:pitch w:val="default"/>
    <w:sig w:usb0="00000000" w:usb1="00000000"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FBE6E">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2</w:t>
    </w:r>
    <w:r>
      <w:fldChar w:fldCharType="end"/>
    </w:r>
  </w:p>
  <w:p w14:paraId="64C951FC">
    <w:pPr>
      <w:pStyle w:val="10"/>
      <w:jc w:val="center"/>
    </w:pPr>
  </w:p>
  <w:p w14:paraId="1A5B0A17">
    <w:pPr>
      <w:pStyle w:val="10"/>
      <w:tabs>
        <w:tab w:val="clear" w:pos="4153"/>
      </w:tabs>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ZWVmN2JkM2FlYTM0YTU5MzU4YWNlMjI2MjBlZTYifQ=="/>
  </w:docVars>
  <w:rsids>
    <w:rsidRoot w:val="00BE4E7D"/>
    <w:rsid w:val="00004C93"/>
    <w:rsid w:val="00033046"/>
    <w:rsid w:val="00044103"/>
    <w:rsid w:val="00050363"/>
    <w:rsid w:val="00057E78"/>
    <w:rsid w:val="00095DFD"/>
    <w:rsid w:val="000A0D85"/>
    <w:rsid w:val="000A68AF"/>
    <w:rsid w:val="000E315E"/>
    <w:rsid w:val="000E3FEC"/>
    <w:rsid w:val="00121763"/>
    <w:rsid w:val="001366F7"/>
    <w:rsid w:val="00146FC4"/>
    <w:rsid w:val="00181650"/>
    <w:rsid w:val="00193503"/>
    <w:rsid w:val="001B56DC"/>
    <w:rsid w:val="001C47F4"/>
    <w:rsid w:val="001C4866"/>
    <w:rsid w:val="001C7BEB"/>
    <w:rsid w:val="001E06E8"/>
    <w:rsid w:val="001E1226"/>
    <w:rsid w:val="001E37C3"/>
    <w:rsid w:val="001F63AE"/>
    <w:rsid w:val="00200220"/>
    <w:rsid w:val="0021066C"/>
    <w:rsid w:val="00225820"/>
    <w:rsid w:val="002343DB"/>
    <w:rsid w:val="00240755"/>
    <w:rsid w:val="002423BA"/>
    <w:rsid w:val="002737E2"/>
    <w:rsid w:val="002912B6"/>
    <w:rsid w:val="002E4690"/>
    <w:rsid w:val="00334585"/>
    <w:rsid w:val="00376A38"/>
    <w:rsid w:val="003A738F"/>
    <w:rsid w:val="00482A1E"/>
    <w:rsid w:val="004A2CE4"/>
    <w:rsid w:val="004D76E3"/>
    <w:rsid w:val="004E1E33"/>
    <w:rsid w:val="004E4EA7"/>
    <w:rsid w:val="00532283"/>
    <w:rsid w:val="00532659"/>
    <w:rsid w:val="0054179E"/>
    <w:rsid w:val="00562CE2"/>
    <w:rsid w:val="005A3C3B"/>
    <w:rsid w:val="005C031A"/>
    <w:rsid w:val="005C07EE"/>
    <w:rsid w:val="005E2021"/>
    <w:rsid w:val="005E452D"/>
    <w:rsid w:val="00681EBA"/>
    <w:rsid w:val="00684493"/>
    <w:rsid w:val="006844BB"/>
    <w:rsid w:val="006A067D"/>
    <w:rsid w:val="006A081E"/>
    <w:rsid w:val="006C1DBB"/>
    <w:rsid w:val="006C5309"/>
    <w:rsid w:val="006E3989"/>
    <w:rsid w:val="00706EE8"/>
    <w:rsid w:val="00740373"/>
    <w:rsid w:val="00761602"/>
    <w:rsid w:val="007C2964"/>
    <w:rsid w:val="007C3D77"/>
    <w:rsid w:val="007E13CA"/>
    <w:rsid w:val="0080203D"/>
    <w:rsid w:val="00860F2A"/>
    <w:rsid w:val="00863C13"/>
    <w:rsid w:val="008971CE"/>
    <w:rsid w:val="008A51D0"/>
    <w:rsid w:val="008A595B"/>
    <w:rsid w:val="008B3AA7"/>
    <w:rsid w:val="008C6452"/>
    <w:rsid w:val="008E35A7"/>
    <w:rsid w:val="008E5B36"/>
    <w:rsid w:val="00903014"/>
    <w:rsid w:val="00906AB0"/>
    <w:rsid w:val="009451F2"/>
    <w:rsid w:val="00977C7C"/>
    <w:rsid w:val="00983D14"/>
    <w:rsid w:val="009C6FED"/>
    <w:rsid w:val="009F44F9"/>
    <w:rsid w:val="00A2444C"/>
    <w:rsid w:val="00A524A3"/>
    <w:rsid w:val="00A7049A"/>
    <w:rsid w:val="00A9708F"/>
    <w:rsid w:val="00AD07D9"/>
    <w:rsid w:val="00AE38C5"/>
    <w:rsid w:val="00B13C24"/>
    <w:rsid w:val="00B36DBC"/>
    <w:rsid w:val="00B64AEA"/>
    <w:rsid w:val="00B70678"/>
    <w:rsid w:val="00B80D83"/>
    <w:rsid w:val="00B952E0"/>
    <w:rsid w:val="00BA497F"/>
    <w:rsid w:val="00BA641F"/>
    <w:rsid w:val="00BB634F"/>
    <w:rsid w:val="00BC2DDF"/>
    <w:rsid w:val="00BC505B"/>
    <w:rsid w:val="00BE4E7D"/>
    <w:rsid w:val="00C25E0E"/>
    <w:rsid w:val="00C5299D"/>
    <w:rsid w:val="00C63925"/>
    <w:rsid w:val="00C9336B"/>
    <w:rsid w:val="00CA0E89"/>
    <w:rsid w:val="00CA7A11"/>
    <w:rsid w:val="00CD6F6D"/>
    <w:rsid w:val="00CE52A7"/>
    <w:rsid w:val="00CF2409"/>
    <w:rsid w:val="00D41071"/>
    <w:rsid w:val="00D761D5"/>
    <w:rsid w:val="00D80E58"/>
    <w:rsid w:val="00DC3370"/>
    <w:rsid w:val="00DC6300"/>
    <w:rsid w:val="00DD0E3B"/>
    <w:rsid w:val="00DE1F68"/>
    <w:rsid w:val="00E30B98"/>
    <w:rsid w:val="00E32143"/>
    <w:rsid w:val="00E47E77"/>
    <w:rsid w:val="00E83470"/>
    <w:rsid w:val="00EC1850"/>
    <w:rsid w:val="00F27E5B"/>
    <w:rsid w:val="00F3782B"/>
    <w:rsid w:val="00F8650D"/>
    <w:rsid w:val="00FA3328"/>
    <w:rsid w:val="00FC11FE"/>
    <w:rsid w:val="00FD58DD"/>
    <w:rsid w:val="0BEF2DEF"/>
    <w:rsid w:val="0EFF2923"/>
    <w:rsid w:val="1016016B"/>
    <w:rsid w:val="107E1380"/>
    <w:rsid w:val="15377869"/>
    <w:rsid w:val="155F1393"/>
    <w:rsid w:val="1AFE4AD2"/>
    <w:rsid w:val="1BDF2910"/>
    <w:rsid w:val="1FF78B06"/>
    <w:rsid w:val="20C6474C"/>
    <w:rsid w:val="21AC206C"/>
    <w:rsid w:val="2578FC14"/>
    <w:rsid w:val="260E5347"/>
    <w:rsid w:val="2A9FED6E"/>
    <w:rsid w:val="2B30709D"/>
    <w:rsid w:val="2DF592F1"/>
    <w:rsid w:val="2DFD0260"/>
    <w:rsid w:val="2F9371AE"/>
    <w:rsid w:val="31B613B8"/>
    <w:rsid w:val="34FFA8B6"/>
    <w:rsid w:val="36424956"/>
    <w:rsid w:val="365E69AC"/>
    <w:rsid w:val="3673841B"/>
    <w:rsid w:val="36FC0B4C"/>
    <w:rsid w:val="37FFD459"/>
    <w:rsid w:val="38221AA1"/>
    <w:rsid w:val="3DBB27E6"/>
    <w:rsid w:val="3DBD9BE1"/>
    <w:rsid w:val="3E1F1CAB"/>
    <w:rsid w:val="3E7E2AA1"/>
    <w:rsid w:val="3F5B7EC6"/>
    <w:rsid w:val="4089619E"/>
    <w:rsid w:val="411403BC"/>
    <w:rsid w:val="440C1321"/>
    <w:rsid w:val="46713DA8"/>
    <w:rsid w:val="48405FAF"/>
    <w:rsid w:val="484D3B04"/>
    <w:rsid w:val="4A4056F2"/>
    <w:rsid w:val="4C2E4C84"/>
    <w:rsid w:val="4E856061"/>
    <w:rsid w:val="4F074A5E"/>
    <w:rsid w:val="4F7D29C0"/>
    <w:rsid w:val="4FEA6469"/>
    <w:rsid w:val="53FCD87F"/>
    <w:rsid w:val="542F4C1C"/>
    <w:rsid w:val="557F72F9"/>
    <w:rsid w:val="57593C4C"/>
    <w:rsid w:val="5760ABD8"/>
    <w:rsid w:val="57F782E2"/>
    <w:rsid w:val="58A361DA"/>
    <w:rsid w:val="59BFFDD4"/>
    <w:rsid w:val="5AD3F16B"/>
    <w:rsid w:val="5D8741A7"/>
    <w:rsid w:val="5E17CAB9"/>
    <w:rsid w:val="5F9E7E44"/>
    <w:rsid w:val="5FF31E19"/>
    <w:rsid w:val="5FFE340E"/>
    <w:rsid w:val="651E7F22"/>
    <w:rsid w:val="676819BA"/>
    <w:rsid w:val="69461782"/>
    <w:rsid w:val="69A11BB8"/>
    <w:rsid w:val="69C36B56"/>
    <w:rsid w:val="69FF8749"/>
    <w:rsid w:val="6BC84060"/>
    <w:rsid w:val="6CC717EC"/>
    <w:rsid w:val="6D171A52"/>
    <w:rsid w:val="6DAE4D80"/>
    <w:rsid w:val="6F5ABF3B"/>
    <w:rsid w:val="6FC02F13"/>
    <w:rsid w:val="6FF241B7"/>
    <w:rsid w:val="72BA14C7"/>
    <w:rsid w:val="72ED4756"/>
    <w:rsid w:val="72F7EFC0"/>
    <w:rsid w:val="73FF9220"/>
    <w:rsid w:val="75EC9D77"/>
    <w:rsid w:val="76237741"/>
    <w:rsid w:val="76BF08A7"/>
    <w:rsid w:val="779B2C68"/>
    <w:rsid w:val="77B6D993"/>
    <w:rsid w:val="77BF4B3B"/>
    <w:rsid w:val="77CCC378"/>
    <w:rsid w:val="77D858AC"/>
    <w:rsid w:val="77F3C94F"/>
    <w:rsid w:val="77FED764"/>
    <w:rsid w:val="796F8B59"/>
    <w:rsid w:val="7B5FDD1E"/>
    <w:rsid w:val="7BDEA862"/>
    <w:rsid w:val="7BDF228B"/>
    <w:rsid w:val="7C505FE3"/>
    <w:rsid w:val="7D77F171"/>
    <w:rsid w:val="7DBB390B"/>
    <w:rsid w:val="7DD64691"/>
    <w:rsid w:val="7DF8E9FD"/>
    <w:rsid w:val="7EBF182E"/>
    <w:rsid w:val="7EECAC42"/>
    <w:rsid w:val="7EFE7208"/>
    <w:rsid w:val="7EFFB1AA"/>
    <w:rsid w:val="7F071CA0"/>
    <w:rsid w:val="7F3F504D"/>
    <w:rsid w:val="7F7EBDA3"/>
    <w:rsid w:val="7F96FBCC"/>
    <w:rsid w:val="7FB90A7A"/>
    <w:rsid w:val="7FBA2F0E"/>
    <w:rsid w:val="7FBA5261"/>
    <w:rsid w:val="7FC4F7AD"/>
    <w:rsid w:val="7FD16BB7"/>
    <w:rsid w:val="7FD94D0F"/>
    <w:rsid w:val="7FDEA1EB"/>
    <w:rsid w:val="7FDEAE81"/>
    <w:rsid w:val="7FDF8DBA"/>
    <w:rsid w:val="7FEAD3ED"/>
    <w:rsid w:val="7FF21B3E"/>
    <w:rsid w:val="7FFEFCB4"/>
    <w:rsid w:val="88E5A344"/>
    <w:rsid w:val="9237140D"/>
    <w:rsid w:val="97C464F5"/>
    <w:rsid w:val="9DFA4D83"/>
    <w:rsid w:val="9FF7F8A7"/>
    <w:rsid w:val="9FFDD211"/>
    <w:rsid w:val="9FFFACB9"/>
    <w:rsid w:val="B3F7DE85"/>
    <w:rsid w:val="B57F53F4"/>
    <w:rsid w:val="B6F155F5"/>
    <w:rsid w:val="B7FBE3E4"/>
    <w:rsid w:val="BBDBE7A3"/>
    <w:rsid w:val="BD6FEED2"/>
    <w:rsid w:val="BF5BDF20"/>
    <w:rsid w:val="BFDD0428"/>
    <w:rsid w:val="BFEF3788"/>
    <w:rsid w:val="BFFD4816"/>
    <w:rsid w:val="C5D37FE1"/>
    <w:rsid w:val="C99FD9B6"/>
    <w:rsid w:val="CBFB358B"/>
    <w:rsid w:val="D74E0574"/>
    <w:rsid w:val="D7DD196E"/>
    <w:rsid w:val="D8F75B6E"/>
    <w:rsid w:val="D9EFEA12"/>
    <w:rsid w:val="DAF1EB31"/>
    <w:rsid w:val="DDFA9BD7"/>
    <w:rsid w:val="DEFBA569"/>
    <w:rsid w:val="DF97300C"/>
    <w:rsid w:val="DF9C09A8"/>
    <w:rsid w:val="DFE6EFE0"/>
    <w:rsid w:val="DFE7B789"/>
    <w:rsid w:val="DFF5DD06"/>
    <w:rsid w:val="DFF94CA1"/>
    <w:rsid w:val="DFFF36FA"/>
    <w:rsid w:val="E3EBABD1"/>
    <w:rsid w:val="E6DE3439"/>
    <w:rsid w:val="E6F7FEFB"/>
    <w:rsid w:val="EBBF6AAC"/>
    <w:rsid w:val="ECFC348C"/>
    <w:rsid w:val="EF3FD021"/>
    <w:rsid w:val="EF6AF981"/>
    <w:rsid w:val="EF73D1B9"/>
    <w:rsid w:val="EFB79616"/>
    <w:rsid w:val="EFEF6DB9"/>
    <w:rsid w:val="EFEFB830"/>
    <w:rsid w:val="EFF53035"/>
    <w:rsid w:val="F1373FC1"/>
    <w:rsid w:val="F1DFE273"/>
    <w:rsid w:val="F35E0880"/>
    <w:rsid w:val="F3DFDD81"/>
    <w:rsid w:val="F3FDC09B"/>
    <w:rsid w:val="F57FB81B"/>
    <w:rsid w:val="F62770FD"/>
    <w:rsid w:val="F7DFF172"/>
    <w:rsid w:val="F7FF0B35"/>
    <w:rsid w:val="FADF464A"/>
    <w:rsid w:val="FB778FC6"/>
    <w:rsid w:val="FD72DFEB"/>
    <w:rsid w:val="FDC7474A"/>
    <w:rsid w:val="FDFD2BEF"/>
    <w:rsid w:val="FEBF9B14"/>
    <w:rsid w:val="FECD3083"/>
    <w:rsid w:val="FED59E32"/>
    <w:rsid w:val="FEEF53A0"/>
    <w:rsid w:val="FEFFCBC7"/>
    <w:rsid w:val="FF5614C8"/>
    <w:rsid w:val="FF5F26EA"/>
    <w:rsid w:val="FF6F2F14"/>
    <w:rsid w:val="FF77CC37"/>
    <w:rsid w:val="FF7DE199"/>
    <w:rsid w:val="FFBEFB52"/>
    <w:rsid w:val="FFBF4C78"/>
    <w:rsid w:val="FFFE8488"/>
    <w:rsid w:val="FFFF0311"/>
    <w:rsid w:val="FFFF2571"/>
    <w:rsid w:val="FFFF9BEB"/>
    <w:rsid w:val="FFFFFA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22"/>
    <w:qFormat/>
    <w:uiPriority w:val="9"/>
    <w:pPr>
      <w:keepNext/>
      <w:keepLines/>
      <w:spacing w:before="260" w:after="260" w:line="416" w:lineRule="auto"/>
      <w:outlineLvl w:val="2"/>
    </w:pPr>
    <w:rPr>
      <w:b/>
      <w:bCs/>
      <w:sz w:val="32"/>
      <w:szCs w:val="32"/>
    </w:rPr>
  </w:style>
  <w:style w:type="paragraph" w:styleId="5">
    <w:name w:val="heading 4"/>
    <w:basedOn w:val="1"/>
    <w:next w:val="1"/>
    <w:link w:val="23"/>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annotation text"/>
    <w:basedOn w:val="1"/>
    <w:unhideWhenUsed/>
    <w:uiPriority w:val="99"/>
    <w:pPr>
      <w:jc w:val="left"/>
    </w:pPr>
  </w:style>
  <w:style w:type="paragraph" w:styleId="7">
    <w:name w:val="toc 3"/>
    <w:basedOn w:val="1"/>
    <w:next w:val="1"/>
    <w:unhideWhenUsed/>
    <w:uiPriority w:val="39"/>
    <w:pPr>
      <w:widowControl/>
      <w:spacing w:after="100" w:line="259" w:lineRule="auto"/>
      <w:ind w:left="440"/>
      <w:jc w:val="left"/>
    </w:pPr>
    <w:rPr>
      <w:rFonts w:ascii="等线" w:hAnsi="等线" w:eastAsia="等线"/>
      <w:kern w:val="0"/>
      <w:sz w:val="22"/>
      <w:szCs w:val="22"/>
    </w:rPr>
  </w:style>
  <w:style w:type="paragraph" w:styleId="8">
    <w:name w:val="Date"/>
    <w:basedOn w:val="1"/>
    <w:next w:val="1"/>
    <w:link w:val="31"/>
    <w:semiHidden/>
    <w:unhideWhenUsed/>
    <w:uiPriority w:val="99"/>
    <w:pPr>
      <w:ind w:left="100" w:leftChars="2500"/>
    </w:pPr>
  </w:style>
  <w:style w:type="paragraph" w:styleId="9">
    <w:name w:val="Balloon Text"/>
    <w:basedOn w:val="1"/>
    <w:link w:val="24"/>
    <w:unhideWhenUsed/>
    <w:uiPriority w:val="99"/>
    <w:rPr>
      <w:sz w:val="18"/>
      <w:szCs w:val="18"/>
    </w:rPr>
  </w:style>
  <w:style w:type="paragraph" w:styleId="10">
    <w:name w:val="footer"/>
    <w:basedOn w:val="1"/>
    <w:link w:val="25"/>
    <w:unhideWhenUsed/>
    <w:uiPriority w:val="99"/>
    <w:pPr>
      <w:tabs>
        <w:tab w:val="center" w:pos="4153"/>
        <w:tab w:val="right" w:pos="8306"/>
      </w:tabs>
      <w:snapToGrid w:val="0"/>
      <w:jc w:val="left"/>
    </w:pPr>
    <w:rPr>
      <w:sz w:val="18"/>
      <w:szCs w:val="18"/>
    </w:rPr>
  </w:style>
  <w:style w:type="paragraph" w:styleId="11">
    <w:name w:val="header"/>
    <w:basedOn w:val="1"/>
    <w:link w:val="26"/>
    <w:unhideWhenUsed/>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uiPriority w:val="39"/>
    <w:pPr>
      <w:widowControl/>
      <w:spacing w:after="100" w:line="259" w:lineRule="auto"/>
      <w:jc w:val="left"/>
    </w:pPr>
    <w:rPr>
      <w:rFonts w:ascii="等线" w:hAnsi="等线" w:eastAsia="等线"/>
      <w:kern w:val="0"/>
      <w:sz w:val="22"/>
      <w:szCs w:val="22"/>
    </w:rPr>
  </w:style>
  <w:style w:type="paragraph" w:styleId="13">
    <w:name w:val="toc 2"/>
    <w:basedOn w:val="1"/>
    <w:next w:val="1"/>
    <w:unhideWhenUsed/>
    <w:uiPriority w:val="39"/>
    <w:pPr>
      <w:widowControl/>
      <w:spacing w:after="100" w:line="259" w:lineRule="auto"/>
      <w:ind w:left="220"/>
      <w:jc w:val="left"/>
    </w:pPr>
    <w:rPr>
      <w:rFonts w:ascii="等线" w:hAnsi="等线" w:eastAsia="等线"/>
      <w:kern w:val="0"/>
      <w:sz w:val="22"/>
      <w:szCs w:val="22"/>
    </w:rPr>
  </w:style>
  <w:style w:type="paragraph" w:styleId="14">
    <w:name w:val="Normal (Web)"/>
    <w:basedOn w:val="1"/>
    <w:unhideWhenUsed/>
    <w:uiPriority w:val="99"/>
    <w:pPr>
      <w:spacing w:before="100" w:beforeAutospacing="1" w:after="100" w:afterAutospacing="1"/>
      <w:jc w:val="left"/>
    </w:pPr>
    <w:rPr>
      <w:kern w:val="0"/>
      <w:sz w:val="24"/>
    </w:rPr>
  </w:style>
  <w:style w:type="character" w:styleId="17">
    <w:name w:val="Strong"/>
    <w:qFormat/>
    <w:uiPriority w:val="0"/>
    <w:rPr>
      <w:b/>
    </w:rPr>
  </w:style>
  <w:style w:type="character" w:styleId="18">
    <w:name w:val="page number"/>
    <w:uiPriority w:val="0"/>
  </w:style>
  <w:style w:type="character" w:styleId="19">
    <w:name w:val="Hyperlink"/>
    <w:unhideWhenUsed/>
    <w:uiPriority w:val="99"/>
    <w:rPr>
      <w:color w:val="467886"/>
      <w:u w:val="single"/>
    </w:rPr>
  </w:style>
  <w:style w:type="character" w:customStyle="1" w:styleId="20">
    <w:name w:val="标题 1 字符"/>
    <w:link w:val="2"/>
    <w:uiPriority w:val="9"/>
    <w:rPr>
      <w:b/>
      <w:bCs/>
      <w:kern w:val="44"/>
      <w:sz w:val="44"/>
      <w:szCs w:val="44"/>
    </w:rPr>
  </w:style>
  <w:style w:type="character" w:customStyle="1" w:styleId="21">
    <w:name w:val="标题 2 字符"/>
    <w:link w:val="3"/>
    <w:uiPriority w:val="9"/>
    <w:rPr>
      <w:rFonts w:ascii="等线 Light" w:hAnsi="等线 Light" w:eastAsia="等线 Light" w:cs="Times New Roman"/>
      <w:b/>
      <w:bCs/>
      <w:kern w:val="2"/>
      <w:sz w:val="32"/>
      <w:szCs w:val="32"/>
    </w:rPr>
  </w:style>
  <w:style w:type="character" w:customStyle="1" w:styleId="22">
    <w:name w:val="标题 3 字符"/>
    <w:link w:val="4"/>
    <w:uiPriority w:val="9"/>
    <w:rPr>
      <w:b/>
      <w:bCs/>
      <w:kern w:val="2"/>
      <w:sz w:val="32"/>
      <w:szCs w:val="32"/>
    </w:rPr>
  </w:style>
  <w:style w:type="character" w:customStyle="1" w:styleId="23">
    <w:name w:val="标题 4 字符"/>
    <w:link w:val="5"/>
    <w:uiPriority w:val="9"/>
    <w:rPr>
      <w:rFonts w:ascii="等线 Light" w:hAnsi="等线 Light" w:eastAsia="等线 Light" w:cs="Times New Roman"/>
      <w:b/>
      <w:bCs/>
      <w:kern w:val="2"/>
      <w:sz w:val="28"/>
      <w:szCs w:val="28"/>
    </w:rPr>
  </w:style>
  <w:style w:type="character" w:customStyle="1" w:styleId="24">
    <w:name w:val="批注框文本 字符"/>
    <w:link w:val="9"/>
    <w:semiHidden/>
    <w:uiPriority w:val="99"/>
    <w:rPr>
      <w:kern w:val="2"/>
      <w:sz w:val="18"/>
      <w:szCs w:val="18"/>
    </w:rPr>
  </w:style>
  <w:style w:type="character" w:customStyle="1" w:styleId="25">
    <w:name w:val="页脚 字符"/>
    <w:link w:val="10"/>
    <w:uiPriority w:val="99"/>
    <w:rPr>
      <w:rFonts w:ascii="Times New Roman" w:hAnsi="Times New Roman" w:eastAsia="宋体" w:cs="Times New Roman"/>
      <w:sz w:val="18"/>
      <w:szCs w:val="18"/>
    </w:rPr>
  </w:style>
  <w:style w:type="character" w:customStyle="1" w:styleId="26">
    <w:name w:val="页眉 字符"/>
    <w:link w:val="11"/>
    <w:uiPriority w:val="99"/>
    <w:rPr>
      <w:rFonts w:ascii="Times New Roman" w:hAnsi="Times New Roman" w:eastAsia="宋体" w:cs="Times New Roman"/>
      <w:sz w:val="18"/>
      <w:szCs w:val="18"/>
    </w:rPr>
  </w:style>
  <w:style w:type="paragraph" w:customStyle="1" w:styleId="27">
    <w:name w:val="p0"/>
    <w:basedOn w:val="1"/>
    <w:uiPriority w:val="0"/>
    <w:pPr>
      <w:widowControl/>
    </w:pPr>
    <w:rPr>
      <w:kern w:val="0"/>
      <w:szCs w:val="21"/>
    </w:rPr>
  </w:style>
  <w:style w:type="paragraph" w:customStyle="1" w:styleId="28">
    <w:name w:val="Revision"/>
    <w:unhideWhenUsed/>
    <w:uiPriority w:val="99"/>
    <w:rPr>
      <w:rFonts w:ascii="Times New Roman" w:hAnsi="Times New Roman" w:eastAsia="宋体" w:cs="Times New Roman"/>
      <w:kern w:val="2"/>
      <w:sz w:val="21"/>
      <w:szCs w:val="24"/>
      <w:lang w:val="en-US" w:eastAsia="zh-CN" w:bidi="ar-SA"/>
    </w:rPr>
  </w:style>
  <w:style w:type="paragraph" w:customStyle="1" w:styleId="29">
    <w:name w:val="TOC Heading"/>
    <w:basedOn w:val="2"/>
    <w:next w:val="1"/>
    <w:qFormat/>
    <w:uiPriority w:val="39"/>
    <w:pPr>
      <w:widowControl/>
      <w:spacing w:before="240" w:after="0" w:line="259" w:lineRule="auto"/>
      <w:jc w:val="left"/>
      <w:outlineLvl w:val="9"/>
    </w:pPr>
    <w:rPr>
      <w:rFonts w:ascii="等线 Light" w:hAnsi="等线 Light" w:eastAsia="等线 Light"/>
      <w:b w:val="0"/>
      <w:bCs w:val="0"/>
      <w:color w:val="0F4761"/>
      <w:kern w:val="0"/>
      <w:sz w:val="32"/>
      <w:szCs w:val="32"/>
    </w:rPr>
  </w:style>
  <w:style w:type="character" w:customStyle="1" w:styleId="30">
    <w:name w:val="Unresolved Mention"/>
    <w:basedOn w:val="16"/>
    <w:semiHidden/>
    <w:unhideWhenUsed/>
    <w:uiPriority w:val="99"/>
    <w:rPr>
      <w:color w:val="605E5C"/>
      <w:shd w:val="clear" w:color="auto" w:fill="E1DFDD"/>
    </w:rPr>
  </w:style>
  <w:style w:type="character" w:customStyle="1" w:styleId="31">
    <w:name w:val="日期 字符"/>
    <w:basedOn w:val="16"/>
    <w:link w:val="8"/>
    <w:semiHidden/>
    <w:uiPriority w:val="99"/>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3114</Words>
  <Characters>17750</Characters>
  <Lines>147</Lines>
  <Paragraphs>41</Paragraphs>
  <TotalTime>32</TotalTime>
  <ScaleCrop>false</ScaleCrop>
  <LinksUpToDate>false</LinksUpToDate>
  <CharactersWithSpaces>20823</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2026-09-11T23:46:00Z</dcterms:created>
  <dc:creator>pc</dc:creator>
  <cp:lastModifiedBy>肖子韵୧(๑•̀⌄•́๑)૭</cp:lastModifiedBy>
  <cp:lastPrinted>2026-09-12T01:14:00Z</cp:lastPrinted>
  <dcterms:modified xsi:type="dcterms:W3CDTF">2026-09-14T09:30:57Z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14ED2CA389674096B6B41E3FC1B646FC_13</vt:lpwstr>
  </property>
  <property fmtid="{D5CDD505-2E9C-101B-9397-08002B2CF9AE}" pid="4" name="KSOTemplateDocerSaveRecord">
    <vt:lpwstr>eyJoZGlkIjoiZGE2YTA4N2YxNWNjMmIwNDMzODc4ZjYyN2NjMTIwZTgiLCJ1c2VySWQiOiIyMzk0MjkxNzQifQ==</vt:lpwstr>
  </property>
</Properties>
</file>