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5523A" w14:textId="77777777" w:rsidR="003C3E0D" w:rsidRPr="003C3E0D" w:rsidRDefault="003C3E0D" w:rsidP="003C3E0D">
      <w:pPr>
        <w:pStyle w:val="1"/>
        <w:rPr>
          <w:rFonts w:hint="eastAsia"/>
        </w:rPr>
      </w:pPr>
      <w:r w:rsidRPr="003C3E0D">
        <w:t>《全市性社会组织简化注销登记工作指引（试行）（征求意见稿）》起草说明</w:t>
      </w:r>
    </w:p>
    <w:p w14:paraId="4D20530A" w14:textId="42BCA4BC" w:rsidR="003C3E0D" w:rsidRPr="003C3E0D" w:rsidRDefault="003C3E0D" w:rsidP="003C3E0D">
      <w:pPr>
        <w:ind w:firstLineChars="200" w:firstLine="640"/>
        <w:rPr>
          <w:rFonts w:ascii="仿宋" w:hAnsi="仿宋" w:hint="eastAsia"/>
          <w:szCs w:val="32"/>
        </w:rPr>
      </w:pPr>
      <w:r w:rsidRPr="003C3E0D">
        <w:rPr>
          <w:rFonts w:ascii="仿宋" w:hAnsi="仿宋"/>
          <w:szCs w:val="32"/>
        </w:rPr>
        <w:t>为深化社会组织登记管理制度改革，畅通社会组织退出渠道，规范简化注销登记工作，根据《社会团体登记管理条例》等法规政策，结合我市实际，南昌市民政局起草形成了《全市性社会组织简化注销登记工作指引（试行）（征求意见稿）》（以下简称《工作指引》）。现将有关情况说明如下：</w:t>
      </w:r>
    </w:p>
    <w:p w14:paraId="6C1E7A8D" w14:textId="77777777" w:rsidR="003C3E0D" w:rsidRPr="003C3E0D" w:rsidRDefault="003C3E0D" w:rsidP="003C3E0D">
      <w:pPr>
        <w:ind w:firstLineChars="200" w:firstLine="642"/>
        <w:rPr>
          <w:rFonts w:ascii="黑体" w:eastAsia="黑体" w:hAnsi="黑体" w:hint="eastAsia"/>
          <w:b/>
          <w:bCs/>
          <w:szCs w:val="32"/>
        </w:rPr>
      </w:pPr>
      <w:r w:rsidRPr="003C3E0D">
        <w:rPr>
          <w:rFonts w:ascii="黑体" w:eastAsia="黑体" w:hAnsi="黑体"/>
          <w:b/>
          <w:bCs/>
          <w:szCs w:val="32"/>
        </w:rPr>
        <w:t>一、制定《工作指引》的必要性和可行性</w:t>
      </w:r>
    </w:p>
    <w:p w14:paraId="68505DD8" w14:textId="77777777" w:rsidR="003C3E0D" w:rsidRPr="003C3E0D" w:rsidRDefault="003C3E0D" w:rsidP="003C3E0D">
      <w:pPr>
        <w:ind w:firstLineChars="200" w:firstLine="640"/>
        <w:rPr>
          <w:rStyle w:val="30"/>
          <w:rFonts w:hint="eastAsia"/>
        </w:rPr>
      </w:pPr>
      <w:r w:rsidRPr="003C3E0D">
        <w:rPr>
          <w:rStyle w:val="30"/>
        </w:rPr>
        <w:t>（一）制定《工作指引》是深化</w:t>
      </w:r>
      <w:r w:rsidRPr="003C3E0D">
        <w:rPr>
          <w:rStyle w:val="30"/>
        </w:rPr>
        <w:t>“</w:t>
      </w:r>
      <w:r w:rsidRPr="003C3E0D">
        <w:rPr>
          <w:rStyle w:val="30"/>
        </w:rPr>
        <w:t>放管服</w:t>
      </w:r>
      <w:r w:rsidRPr="003C3E0D">
        <w:rPr>
          <w:rStyle w:val="30"/>
        </w:rPr>
        <w:t>”</w:t>
      </w:r>
      <w:r w:rsidRPr="003C3E0D">
        <w:rPr>
          <w:rStyle w:val="30"/>
        </w:rPr>
        <w:t>改革、畅通社会组织退出渠道的重要举措</w:t>
      </w:r>
    </w:p>
    <w:p w14:paraId="6E2D1396" w14:textId="77777777" w:rsidR="003C3E0D" w:rsidRPr="003C3E0D" w:rsidRDefault="003C3E0D" w:rsidP="003C3E0D">
      <w:pPr>
        <w:ind w:firstLineChars="200" w:firstLine="640"/>
        <w:rPr>
          <w:rFonts w:ascii="仿宋" w:hAnsi="仿宋" w:hint="eastAsia"/>
          <w:szCs w:val="32"/>
        </w:rPr>
      </w:pPr>
      <w:r w:rsidRPr="003C3E0D">
        <w:rPr>
          <w:rFonts w:ascii="仿宋" w:hAnsi="仿宋"/>
          <w:szCs w:val="32"/>
        </w:rPr>
        <w:t>随着社会组织登记管理制度改革不断深化，社会组织退出机制建设的重要性日益凸显。部分社会组织因会员流失、理事无法联系、长期未开展活动等原因，难以按照一般程序召开会员（代表）大会或理事会形成有效决议，导致注销登记难以推进。制定《工作指引》，简化注销登记程序，有利于解决社会组织“退出难”问题，推动社会组织结构优化和健康有序发展。</w:t>
      </w:r>
    </w:p>
    <w:p w14:paraId="525565D1" w14:textId="77777777" w:rsidR="003C3E0D" w:rsidRPr="003C3E0D" w:rsidRDefault="003C3E0D" w:rsidP="003C3E0D">
      <w:pPr>
        <w:ind w:firstLineChars="200" w:firstLine="640"/>
        <w:rPr>
          <w:rStyle w:val="30"/>
          <w:rFonts w:hint="eastAsia"/>
        </w:rPr>
      </w:pPr>
      <w:r w:rsidRPr="003C3E0D">
        <w:rPr>
          <w:rStyle w:val="30"/>
        </w:rPr>
        <w:t>（二）市级社会组织注销实践面临的问题亟待通过《工作指引》予以破解</w:t>
      </w:r>
    </w:p>
    <w:p w14:paraId="312FD460" w14:textId="77777777" w:rsidR="003C3E0D" w:rsidRPr="003C3E0D" w:rsidRDefault="003C3E0D" w:rsidP="003C3E0D">
      <w:pPr>
        <w:ind w:firstLineChars="200" w:firstLine="640"/>
        <w:rPr>
          <w:rFonts w:ascii="仿宋" w:hAnsi="仿宋" w:hint="eastAsia"/>
          <w:szCs w:val="32"/>
        </w:rPr>
      </w:pPr>
      <w:r w:rsidRPr="003C3E0D">
        <w:rPr>
          <w:rFonts w:ascii="仿宋" w:hAnsi="仿宋"/>
          <w:szCs w:val="32"/>
        </w:rPr>
        <w:t>在实际工作中，部分全市性社会组织存在因无法取得联系的会员或理事数量较多、成立后从未开展业务活动、存在分立合并情形等情形，无法按照一般程序完成注销登记。同时，社会组</w:t>
      </w:r>
      <w:r w:rsidRPr="003C3E0D">
        <w:rPr>
          <w:rFonts w:ascii="仿宋" w:hAnsi="仿宋"/>
          <w:szCs w:val="32"/>
        </w:rPr>
        <w:lastRenderedPageBreak/>
        <w:t>织、业务主管单位（行业管理部门）和登记管理机关在注销程序中的职责边界不够清晰，简易注销的适用条件、启动主体和审查方式缺乏统一操作口径。制定《工作指引》，有利于进一步明确适用范围、启动程序和职责分工，为市级社会组织简化注销登记提供精准政策指引。</w:t>
      </w:r>
    </w:p>
    <w:p w14:paraId="12F32B5D" w14:textId="77777777" w:rsidR="003C3E0D" w:rsidRPr="003C3E0D" w:rsidRDefault="003C3E0D" w:rsidP="003C3E0D">
      <w:pPr>
        <w:ind w:firstLineChars="200" w:firstLine="640"/>
        <w:rPr>
          <w:rStyle w:val="30"/>
          <w:rFonts w:hint="eastAsia"/>
        </w:rPr>
      </w:pPr>
      <w:r w:rsidRPr="003C3E0D">
        <w:rPr>
          <w:rStyle w:val="30"/>
        </w:rPr>
        <w:t>（三）省级简易注销制度与市级实际存在差异，需要市级层面单独规范</w:t>
      </w:r>
    </w:p>
    <w:p w14:paraId="15D34303" w14:textId="77777777" w:rsidR="003C3E0D" w:rsidRPr="003C3E0D" w:rsidRDefault="003C3E0D" w:rsidP="003C3E0D">
      <w:pPr>
        <w:ind w:firstLineChars="200" w:firstLine="640"/>
        <w:rPr>
          <w:rFonts w:ascii="仿宋" w:hAnsi="仿宋" w:hint="eastAsia"/>
          <w:szCs w:val="32"/>
        </w:rPr>
      </w:pPr>
      <w:r w:rsidRPr="003C3E0D">
        <w:rPr>
          <w:rFonts w:ascii="仿宋" w:hAnsi="仿宋"/>
          <w:szCs w:val="32"/>
        </w:rPr>
        <w:t>省级简易注销程序与市级简易注销程序在适用范围上存在明显区别，不能简单等同。省级层面，《省级行业协会商会简易注销程序工作指引（试行）》（赣民规字〔2026〕7号）明确，简易注销程序仅适用于省级行业协会商会，其适用情形主要包括：因会员（代表）数量不足无法形成有效决议、长期未开展业务活动且债权债务清晰、存在分立合并情形、被吊销登记证书满两年、业务主管单位等部门认为有必要终止等五类情形。市级层面，《工作指引》的适用范围则更为广泛，涵盖全市性各类社会组织（包括社会团体、民办非企业单位、基金会等），并非仅限于行业协会商会。因此，有必要结合市级实际，单独制定符合全市性社会组织特点的简化注销登记工作指引。</w:t>
      </w:r>
    </w:p>
    <w:p w14:paraId="64BE94B7" w14:textId="77777777" w:rsidR="003C3E0D" w:rsidRPr="003C3E0D" w:rsidRDefault="003C3E0D" w:rsidP="003C3E0D">
      <w:pPr>
        <w:ind w:firstLineChars="200" w:firstLine="640"/>
        <w:rPr>
          <w:rStyle w:val="30"/>
          <w:rFonts w:hint="eastAsia"/>
        </w:rPr>
      </w:pPr>
      <w:r w:rsidRPr="003C3E0D">
        <w:rPr>
          <w:rStyle w:val="30"/>
        </w:rPr>
        <w:t>（四）制定《工作指引》的法规依据和实践条件已基本成熟</w:t>
      </w:r>
    </w:p>
    <w:p w14:paraId="7E5C2D62" w14:textId="77777777" w:rsidR="003C3E0D" w:rsidRPr="003C3E0D" w:rsidRDefault="003C3E0D" w:rsidP="003C3E0D">
      <w:pPr>
        <w:ind w:firstLineChars="200" w:firstLine="640"/>
        <w:rPr>
          <w:rFonts w:ascii="仿宋" w:hAnsi="仿宋" w:hint="eastAsia"/>
          <w:szCs w:val="32"/>
        </w:rPr>
      </w:pPr>
      <w:r w:rsidRPr="003C3E0D">
        <w:rPr>
          <w:rFonts w:ascii="仿宋" w:hAnsi="仿宋"/>
          <w:szCs w:val="32"/>
        </w:rPr>
        <w:t>2026年修订的《社会团体登记管理条例》第二十条规定，社会团体未及时履行清算义务的，“业务主管单位、行业管理部</w:t>
      </w:r>
      <w:r w:rsidRPr="003C3E0D">
        <w:rPr>
          <w:rFonts w:ascii="仿宋" w:hAnsi="仿宋"/>
          <w:szCs w:val="32"/>
        </w:rPr>
        <w:lastRenderedPageBreak/>
        <w:t>门、登记管理机关或者利害关系人可以依法申请人民法院指定有关人员组成清算组进行清算”。这一规定为简化注销登记和清算启动提供了明确法规依据。同时，省级层面已出台简易注销程序相关制度，我市在社会组织注销登记实践中也积累了一定经验。制定《工作指引》已具备相应法规依据和实践基础。</w:t>
      </w:r>
    </w:p>
    <w:p w14:paraId="314600F0" w14:textId="77777777" w:rsidR="003C3E0D" w:rsidRPr="003C3E0D" w:rsidRDefault="003C3E0D" w:rsidP="003C3E0D">
      <w:pPr>
        <w:ind w:firstLineChars="200" w:firstLine="642"/>
        <w:rPr>
          <w:rFonts w:ascii="黑体" w:eastAsia="黑体" w:hAnsi="黑体" w:hint="eastAsia"/>
          <w:b/>
          <w:bCs/>
          <w:szCs w:val="32"/>
        </w:rPr>
      </w:pPr>
      <w:r w:rsidRPr="003C3E0D">
        <w:rPr>
          <w:rFonts w:ascii="黑体" w:eastAsia="黑体" w:hAnsi="黑体"/>
          <w:b/>
          <w:bCs/>
          <w:szCs w:val="32"/>
        </w:rPr>
        <w:t>二、《工作指引》起草过程</w:t>
      </w:r>
    </w:p>
    <w:p w14:paraId="659EC63C" w14:textId="77777777" w:rsidR="003C3E0D" w:rsidRPr="003C3E0D" w:rsidRDefault="003C3E0D" w:rsidP="003C3E0D">
      <w:pPr>
        <w:ind w:firstLineChars="200" w:firstLine="640"/>
        <w:rPr>
          <w:rFonts w:ascii="仿宋" w:hAnsi="仿宋" w:hint="eastAsia"/>
          <w:szCs w:val="32"/>
        </w:rPr>
      </w:pPr>
      <w:r w:rsidRPr="003C3E0D">
        <w:rPr>
          <w:rFonts w:ascii="仿宋" w:hAnsi="仿宋"/>
          <w:szCs w:val="32"/>
        </w:rPr>
        <w:t>《工作指引》起草工作，大致经历了以下几个阶段。</w:t>
      </w:r>
    </w:p>
    <w:p w14:paraId="1727DDD7" w14:textId="731A1FB3" w:rsidR="003C3E0D" w:rsidRPr="003C3E0D" w:rsidRDefault="003C3E0D" w:rsidP="003C3E0D">
      <w:pPr>
        <w:ind w:firstLineChars="200" w:firstLine="640"/>
        <w:rPr>
          <w:rFonts w:ascii="仿宋" w:hAnsi="仿宋" w:hint="eastAsia"/>
          <w:szCs w:val="32"/>
        </w:rPr>
      </w:pPr>
      <w:r w:rsidRPr="003C3E0D">
        <w:rPr>
          <w:rStyle w:val="30"/>
        </w:rPr>
        <w:t>（一）启动阶段。</w:t>
      </w:r>
      <w:r w:rsidRPr="003C3E0D">
        <w:rPr>
          <w:rFonts w:ascii="仿宋" w:hAnsi="仿宋"/>
          <w:szCs w:val="32"/>
        </w:rPr>
        <w:t>根据社会组织登记管理实际需要，南昌市民政局启动《工作指引》起草工作，明确起草任务、责任分工和重点内容，正式启动起草工作。</w:t>
      </w:r>
    </w:p>
    <w:p w14:paraId="6F76461D" w14:textId="197D521B" w:rsidR="003C3E0D" w:rsidRPr="003C3E0D" w:rsidRDefault="003C3E0D" w:rsidP="003C3E0D">
      <w:pPr>
        <w:ind w:firstLineChars="200" w:firstLine="640"/>
        <w:rPr>
          <w:rFonts w:ascii="仿宋" w:hAnsi="仿宋" w:hint="eastAsia"/>
          <w:szCs w:val="32"/>
        </w:rPr>
      </w:pPr>
      <w:r w:rsidRPr="003C3E0D">
        <w:rPr>
          <w:rStyle w:val="30"/>
        </w:rPr>
        <w:t>（二）研究对接阶段。</w:t>
      </w:r>
      <w:r w:rsidRPr="003C3E0D">
        <w:rPr>
          <w:rFonts w:ascii="仿宋" w:hAnsi="仿宋"/>
          <w:szCs w:val="32"/>
        </w:rPr>
        <w:t>组织学习《社会团体登记管理条例》和省级简易注销程序有关制度，梳理省级简易注销程序与市级简易注销程序在适用范围、启动主体、职责分工等方面的区别。</w:t>
      </w:r>
    </w:p>
    <w:p w14:paraId="276CAB8A" w14:textId="274B14F7" w:rsidR="003C3E0D" w:rsidRPr="003C3E0D" w:rsidRDefault="003C3E0D" w:rsidP="003C3E0D">
      <w:pPr>
        <w:ind w:firstLineChars="200" w:firstLine="640"/>
        <w:rPr>
          <w:rFonts w:ascii="仿宋" w:hAnsi="仿宋" w:hint="eastAsia"/>
          <w:szCs w:val="32"/>
        </w:rPr>
      </w:pPr>
      <w:r w:rsidRPr="003C3E0D">
        <w:rPr>
          <w:rStyle w:val="30"/>
        </w:rPr>
        <w:t>（三）草案起草阶段。</w:t>
      </w:r>
      <w:r w:rsidRPr="003C3E0D">
        <w:rPr>
          <w:rFonts w:ascii="仿宋" w:hAnsi="仿宋"/>
          <w:szCs w:val="32"/>
        </w:rPr>
        <w:t>在调研和对接基础上，围绕适用范围、启动程序、职责分工、审查登记等关键问题，起草形成《工作指引（草案建议稿）》。</w:t>
      </w:r>
    </w:p>
    <w:p w14:paraId="0EFDA148" w14:textId="77C3860F" w:rsidR="003C3E0D" w:rsidRPr="003C3E0D" w:rsidRDefault="003C3E0D" w:rsidP="003C3E0D">
      <w:pPr>
        <w:ind w:firstLineChars="200" w:firstLine="640"/>
        <w:rPr>
          <w:rFonts w:ascii="仿宋" w:hAnsi="仿宋" w:hint="eastAsia"/>
          <w:szCs w:val="32"/>
        </w:rPr>
      </w:pPr>
      <w:r w:rsidRPr="003C3E0D">
        <w:rPr>
          <w:rStyle w:val="30"/>
        </w:rPr>
        <w:t>（四）征求意见阶段。</w:t>
      </w:r>
      <w:r w:rsidRPr="003C3E0D">
        <w:rPr>
          <w:rFonts w:ascii="仿宋" w:hAnsi="仿宋"/>
          <w:szCs w:val="32"/>
        </w:rPr>
        <w:t>按程序征求各业务主管单位（行业管理部门）、登记管理机关、市人民法院等有关方面意见，对反馈意见逐条研究吸纳，修改完善后形成《工作指引（征求意见稿）》，并按程序面向社会公开征求意见。</w:t>
      </w:r>
    </w:p>
    <w:p w14:paraId="3320F9F5" w14:textId="77777777" w:rsidR="003C3E0D" w:rsidRPr="003C3E0D" w:rsidRDefault="003C3E0D" w:rsidP="003C3E0D">
      <w:pPr>
        <w:ind w:firstLineChars="200" w:firstLine="642"/>
        <w:rPr>
          <w:rFonts w:ascii="黑体" w:eastAsia="黑体" w:hAnsi="黑体" w:hint="eastAsia"/>
          <w:b/>
          <w:bCs/>
          <w:szCs w:val="32"/>
        </w:rPr>
      </w:pPr>
      <w:r w:rsidRPr="003C3E0D">
        <w:rPr>
          <w:rFonts w:ascii="黑体" w:eastAsia="黑体" w:hAnsi="黑体"/>
          <w:b/>
          <w:bCs/>
          <w:szCs w:val="32"/>
        </w:rPr>
        <w:t>三、《工作指引》起草思路</w:t>
      </w:r>
    </w:p>
    <w:p w14:paraId="13220BB1" w14:textId="77777777" w:rsidR="003C3E0D" w:rsidRPr="003C3E0D" w:rsidRDefault="003C3E0D" w:rsidP="003C3E0D">
      <w:pPr>
        <w:ind w:firstLineChars="200" w:firstLine="640"/>
        <w:rPr>
          <w:rFonts w:ascii="仿宋" w:hAnsi="仿宋" w:hint="eastAsia"/>
          <w:szCs w:val="32"/>
        </w:rPr>
      </w:pPr>
      <w:r w:rsidRPr="003C3E0D">
        <w:rPr>
          <w:rFonts w:ascii="仿宋" w:hAnsi="仿宋"/>
          <w:szCs w:val="32"/>
        </w:rPr>
        <w:lastRenderedPageBreak/>
        <w:t>《工作指引》坚持以依法依规、简化便民、职责清晰、审慎登记为导向，结合全市性社会组织注销登记实际，主要坚持如下基本要求。</w:t>
      </w:r>
    </w:p>
    <w:p w14:paraId="1C27370E" w14:textId="122744DE" w:rsidR="003C3E0D" w:rsidRPr="003C3E0D" w:rsidRDefault="003C3E0D" w:rsidP="003C3E0D">
      <w:pPr>
        <w:ind w:firstLineChars="200" w:firstLine="640"/>
        <w:rPr>
          <w:rFonts w:ascii="仿宋" w:hAnsi="仿宋" w:hint="eastAsia"/>
          <w:szCs w:val="32"/>
        </w:rPr>
      </w:pPr>
      <w:r w:rsidRPr="003C3E0D">
        <w:rPr>
          <w:rStyle w:val="30"/>
        </w:rPr>
        <w:t>第一，坚持依法依规与简化便民相结合。</w:t>
      </w:r>
      <w:r w:rsidRPr="003C3E0D">
        <w:rPr>
          <w:rFonts w:ascii="仿宋" w:hAnsi="仿宋"/>
          <w:szCs w:val="32"/>
        </w:rPr>
        <w:t>在《社会团体登记管理条例》等法规框架内，对符合条件的社会组织简化注销登记程序，降低退出成本，提高退出效率，同时确保注销登记依法合规。</w:t>
      </w:r>
    </w:p>
    <w:p w14:paraId="2777DEF1" w14:textId="0789B173" w:rsidR="003C3E0D" w:rsidRPr="003C3E0D" w:rsidRDefault="003C3E0D" w:rsidP="003C3E0D">
      <w:pPr>
        <w:ind w:firstLineChars="200" w:firstLine="640"/>
        <w:rPr>
          <w:rFonts w:ascii="仿宋" w:hAnsi="仿宋" w:hint="eastAsia"/>
          <w:szCs w:val="32"/>
        </w:rPr>
      </w:pPr>
      <w:r w:rsidRPr="003C3E0D">
        <w:rPr>
          <w:rStyle w:val="30"/>
        </w:rPr>
        <w:t>第二，坚持省级制度与市级实际相区分</w:t>
      </w:r>
      <w:r w:rsidRPr="003C3E0D">
        <w:rPr>
          <w:rFonts w:ascii="仿宋" w:hAnsi="仿宋"/>
          <w:b/>
          <w:bCs/>
          <w:szCs w:val="32"/>
        </w:rPr>
        <w:t>。</w:t>
      </w:r>
      <w:r w:rsidRPr="003C3E0D">
        <w:rPr>
          <w:rFonts w:ascii="仿宋" w:hAnsi="仿宋"/>
          <w:szCs w:val="32"/>
        </w:rPr>
        <w:t>明确省级简易注销程序仅适用于省级行业协会商会，市级简易注销程序涵盖全市性各类社会组织，不能简单套用省级制度，避免适用范围混淆。</w:t>
      </w:r>
    </w:p>
    <w:p w14:paraId="3CB088A3" w14:textId="4869301D" w:rsidR="003C3E0D" w:rsidRPr="003C3E0D" w:rsidRDefault="003C3E0D" w:rsidP="003C3E0D">
      <w:pPr>
        <w:ind w:firstLineChars="200" w:firstLine="640"/>
        <w:rPr>
          <w:rFonts w:ascii="仿宋" w:hAnsi="仿宋" w:hint="eastAsia"/>
          <w:szCs w:val="32"/>
        </w:rPr>
      </w:pPr>
      <w:r w:rsidRPr="003C3E0D">
        <w:rPr>
          <w:rStyle w:val="30"/>
        </w:rPr>
        <w:t>第三，坚持职责清晰与审慎登记相结合。</w:t>
      </w:r>
      <w:r w:rsidRPr="003C3E0D">
        <w:rPr>
          <w:rFonts w:ascii="仿宋" w:hAnsi="仿宋"/>
          <w:szCs w:val="32"/>
        </w:rPr>
        <w:t>明确社会组织、业务主管单位（行业管理部门）、登记管理机关在简易注销程序中的职责定位，既推动符合条件的组织顺利退出，又防止以隐瞒、骗取等方式违规办理简易注销。</w:t>
      </w:r>
    </w:p>
    <w:p w14:paraId="5B769AD2" w14:textId="0667B03D" w:rsidR="003C3E0D" w:rsidRPr="003C3E0D" w:rsidRDefault="003C3E0D" w:rsidP="003C3E0D">
      <w:pPr>
        <w:ind w:firstLineChars="200" w:firstLine="640"/>
        <w:rPr>
          <w:rFonts w:ascii="仿宋" w:hAnsi="仿宋" w:hint="eastAsia"/>
          <w:szCs w:val="32"/>
        </w:rPr>
      </w:pPr>
      <w:r w:rsidRPr="003C3E0D">
        <w:rPr>
          <w:rStyle w:val="30"/>
        </w:rPr>
        <w:t>第四，坚持实质判断与形式审查相分离。</w:t>
      </w:r>
      <w:r w:rsidRPr="003C3E0D">
        <w:rPr>
          <w:rFonts w:ascii="仿宋" w:hAnsi="仿宋"/>
          <w:szCs w:val="32"/>
        </w:rPr>
        <w:t>社会组织是否符合简易注销适用条件、是否可启动简易注销，应由最了解其实际情况的业务主管单位（行业管理部门）作出具体判定；登记管理机关主要负责材料形式审查和注销登记最终审批，不宜也无法替代业务主管单位进行实质判断。</w:t>
      </w:r>
    </w:p>
    <w:p w14:paraId="701E60AC" w14:textId="77777777" w:rsidR="003C3E0D" w:rsidRPr="003C3E0D" w:rsidRDefault="003C3E0D" w:rsidP="003C3E0D">
      <w:pPr>
        <w:ind w:firstLineChars="200" w:firstLine="642"/>
        <w:rPr>
          <w:rFonts w:ascii="黑体" w:eastAsia="黑体" w:hAnsi="黑体" w:hint="eastAsia"/>
          <w:b/>
          <w:bCs/>
          <w:szCs w:val="32"/>
        </w:rPr>
      </w:pPr>
      <w:r w:rsidRPr="003C3E0D">
        <w:rPr>
          <w:rFonts w:ascii="黑体" w:eastAsia="黑体" w:hAnsi="黑体"/>
          <w:b/>
          <w:bCs/>
          <w:szCs w:val="32"/>
        </w:rPr>
        <w:t>四、《工作指引》的主要内容</w:t>
      </w:r>
    </w:p>
    <w:p w14:paraId="586FA663" w14:textId="77777777" w:rsidR="003C3E0D" w:rsidRPr="003C3E0D" w:rsidRDefault="003C3E0D" w:rsidP="003C3E0D">
      <w:pPr>
        <w:ind w:firstLineChars="200" w:firstLine="640"/>
        <w:rPr>
          <w:rFonts w:ascii="仿宋" w:hAnsi="仿宋" w:hint="eastAsia"/>
          <w:szCs w:val="32"/>
        </w:rPr>
      </w:pPr>
      <w:r w:rsidRPr="003C3E0D">
        <w:rPr>
          <w:rFonts w:ascii="仿宋" w:hAnsi="仿宋"/>
          <w:szCs w:val="32"/>
        </w:rPr>
        <w:t>《工作指引》主要围绕适用范围、启动程序、职责分工、审查登记和退出引导等内容作出规定。</w:t>
      </w:r>
    </w:p>
    <w:p w14:paraId="4E4F0033" w14:textId="52E0D69F" w:rsidR="003C3E0D" w:rsidRPr="003C3E0D" w:rsidRDefault="003C3E0D" w:rsidP="003C3E0D">
      <w:pPr>
        <w:ind w:firstLineChars="200" w:firstLine="640"/>
        <w:rPr>
          <w:rFonts w:ascii="仿宋" w:hAnsi="仿宋" w:hint="eastAsia"/>
          <w:szCs w:val="32"/>
        </w:rPr>
      </w:pPr>
      <w:r w:rsidRPr="003C3E0D">
        <w:rPr>
          <w:rStyle w:val="30"/>
        </w:rPr>
        <w:lastRenderedPageBreak/>
        <w:t>（一）关于适用范围。</w:t>
      </w:r>
      <w:r w:rsidRPr="003C3E0D">
        <w:rPr>
          <w:rFonts w:ascii="仿宋" w:hAnsi="仿宋"/>
          <w:szCs w:val="32"/>
        </w:rPr>
        <w:t>全市性社会组织按法定程序申请注销登记，如存在因无法取得联系的会员或理事数量较多、成立后从未开展业务活动、存在分立合并情形等情形之一的，可根据实际情况简化注销程序。适用范围涵盖全市性各类社会组织，包括社会团体、民办非企业单位、基金会等，并非仅限于行业协会商会。</w:t>
      </w:r>
    </w:p>
    <w:p w14:paraId="47C7955F" w14:textId="16967006" w:rsidR="003C3E0D" w:rsidRPr="003C3E0D" w:rsidRDefault="003C3E0D" w:rsidP="003C3E0D">
      <w:pPr>
        <w:ind w:firstLineChars="200" w:firstLine="640"/>
        <w:rPr>
          <w:rFonts w:ascii="仿宋" w:hAnsi="仿宋" w:hint="eastAsia"/>
          <w:szCs w:val="32"/>
        </w:rPr>
      </w:pPr>
      <w:r w:rsidRPr="003C3E0D">
        <w:rPr>
          <w:rStyle w:val="30"/>
        </w:rPr>
        <w:t>（二）关于启动程序。</w:t>
      </w:r>
      <w:r w:rsidRPr="003C3E0D">
        <w:rPr>
          <w:rFonts w:ascii="仿宋" w:hAnsi="仿宋"/>
          <w:szCs w:val="32"/>
        </w:rPr>
        <w:t>根据2026年修订的《社会团体登记管理条例》第二十条，社会团体未及时履行清算义务的，业务主管单位、行业管理部门、登记管理机关或者利害关系人可以依法申请人民法院指定有关人员组成清算组进行清算。据此，业务主管单位、登记管理机关、利害关系人均是法定的申请主体，并非只有业务主管单位可以申请。</w:t>
      </w:r>
    </w:p>
    <w:p w14:paraId="4EBA261E" w14:textId="24545CFD" w:rsidR="003C3E0D" w:rsidRPr="003C3E0D" w:rsidRDefault="003C3E0D" w:rsidP="003C3E0D">
      <w:pPr>
        <w:ind w:firstLineChars="200" w:firstLine="640"/>
        <w:rPr>
          <w:rFonts w:ascii="仿宋" w:hAnsi="仿宋" w:hint="eastAsia"/>
          <w:szCs w:val="32"/>
        </w:rPr>
      </w:pPr>
      <w:r w:rsidRPr="003C3E0D">
        <w:rPr>
          <w:rStyle w:val="30"/>
        </w:rPr>
        <w:t>（三）关于职责分工。</w:t>
      </w:r>
      <w:r w:rsidRPr="003C3E0D">
        <w:rPr>
          <w:rFonts w:ascii="仿宋" w:hAnsi="仿宋"/>
          <w:szCs w:val="32"/>
        </w:rPr>
        <w:t>社会组织应当如实提供所需材料，并承担法律责任。业务主管单位（行业管理部门）负责社会组织注销登记前的审查，会同有关机关指导社会组织注销前的清算事宜，主动推动和帮助完成注销，并承担相应法律责任。登记管理机关应当依法审慎办理简易注销，对采取隐瞒、骗取简易注销的依法进行相应处置，负责对提交材料的形式审查和注销登记的最终审批。</w:t>
      </w:r>
    </w:p>
    <w:p w14:paraId="5655271C" w14:textId="53802256" w:rsidR="003C3E0D" w:rsidRPr="003C3E0D" w:rsidRDefault="003C3E0D" w:rsidP="003C3E0D">
      <w:pPr>
        <w:ind w:firstLineChars="200" w:firstLine="640"/>
        <w:rPr>
          <w:rFonts w:ascii="仿宋" w:hAnsi="仿宋" w:hint="eastAsia"/>
          <w:szCs w:val="32"/>
        </w:rPr>
      </w:pPr>
      <w:r w:rsidRPr="003C3E0D">
        <w:rPr>
          <w:rStyle w:val="30"/>
        </w:rPr>
        <w:t>（四）关于登记管理机关的审查边界。</w:t>
      </w:r>
      <w:r w:rsidRPr="003C3E0D">
        <w:rPr>
          <w:rFonts w:ascii="仿宋" w:hAnsi="仿宋"/>
          <w:szCs w:val="32"/>
        </w:rPr>
        <w:t>登记管理机关不掌握社会组织的日常运营细节，不了解其会员（理事）的具体联络情况、内部矛盾等实际情况。业务主管单位承担的是“审查”职</w:t>
      </w:r>
      <w:r w:rsidRPr="003C3E0D">
        <w:rPr>
          <w:rFonts w:ascii="仿宋" w:hAnsi="仿宋"/>
          <w:szCs w:val="32"/>
        </w:rPr>
        <w:lastRenderedPageBreak/>
        <w:t>责，需要对申请注销的事实和条件进行实质性审核；登记管理机关承担的是“登记”职责，主要负责对提交材料的完备性、合规性进行审核并作出行政许可决定。对于“无法取得联系的会员（理事）数量较多”“成立后从未开展业务活动”“没有债权债务”等前提条件，需要结合社会组织实际情况进行具体认定，这一认定工作应由最了解情况的业务主管单位负责。</w:t>
      </w:r>
    </w:p>
    <w:p w14:paraId="1BCA51B0" w14:textId="75B22191" w:rsidR="003C3E0D" w:rsidRPr="003C3E0D" w:rsidRDefault="003C3E0D" w:rsidP="003C3E0D">
      <w:pPr>
        <w:ind w:firstLineChars="200" w:firstLine="640"/>
        <w:rPr>
          <w:rFonts w:ascii="仿宋" w:hAnsi="仿宋" w:hint="eastAsia"/>
          <w:szCs w:val="32"/>
        </w:rPr>
      </w:pPr>
      <w:r w:rsidRPr="003C3E0D">
        <w:rPr>
          <w:rStyle w:val="30"/>
        </w:rPr>
        <w:t>（五）关于退出引导。</w:t>
      </w:r>
      <w:r w:rsidRPr="003C3E0D">
        <w:rPr>
          <w:rFonts w:ascii="仿宋" w:hAnsi="仿宋"/>
          <w:szCs w:val="32"/>
        </w:rPr>
        <w:t>各业务主管单位（行业管理部门）应切实履行法定职责，对管辖的社会组织逐一梳理、研判，对符合简易注销条件的，积极指导其按程序办理；对不符合条件的，引导其通过一般程序或其他合法途径退出。</w:t>
      </w:r>
    </w:p>
    <w:p w14:paraId="6DB32ED7" w14:textId="03CAB75A" w:rsidR="003C3E0D" w:rsidRPr="003C3E0D" w:rsidRDefault="003C3E0D" w:rsidP="003C3E0D">
      <w:pPr>
        <w:ind w:firstLineChars="200" w:firstLine="642"/>
        <w:rPr>
          <w:rFonts w:ascii="黑体" w:eastAsia="黑体" w:hAnsi="黑体" w:hint="eastAsia"/>
          <w:b/>
          <w:bCs/>
          <w:szCs w:val="32"/>
        </w:rPr>
      </w:pPr>
      <w:r>
        <w:rPr>
          <w:rFonts w:ascii="黑体" w:eastAsia="黑体" w:hAnsi="黑体" w:hint="eastAsia"/>
          <w:b/>
          <w:bCs/>
          <w:szCs w:val="32"/>
        </w:rPr>
        <w:t>五</w:t>
      </w:r>
      <w:r w:rsidRPr="003C3E0D">
        <w:rPr>
          <w:rFonts w:ascii="黑体" w:eastAsia="黑体" w:hAnsi="黑体"/>
          <w:b/>
          <w:bCs/>
          <w:szCs w:val="32"/>
        </w:rPr>
        <w:t>、需要说明的问题</w:t>
      </w:r>
    </w:p>
    <w:p w14:paraId="0E18EC83" w14:textId="77777777" w:rsidR="003C3E0D" w:rsidRPr="003C3E0D" w:rsidRDefault="003C3E0D" w:rsidP="003C3E0D">
      <w:pPr>
        <w:pStyle w:val="3"/>
        <w:ind w:firstLine="640"/>
        <w:rPr>
          <w:rFonts w:hint="eastAsia"/>
        </w:rPr>
      </w:pPr>
      <w:r w:rsidRPr="003C3E0D">
        <w:t>（一）关于适用范围的区别</w:t>
      </w:r>
    </w:p>
    <w:p w14:paraId="6D36218C" w14:textId="77777777" w:rsidR="003C3E0D" w:rsidRPr="003C3E0D" w:rsidRDefault="003C3E0D" w:rsidP="003C3E0D">
      <w:pPr>
        <w:ind w:firstLineChars="200" w:firstLine="640"/>
        <w:rPr>
          <w:rFonts w:ascii="仿宋" w:hAnsi="仿宋" w:hint="eastAsia"/>
          <w:szCs w:val="32"/>
        </w:rPr>
      </w:pPr>
      <w:r w:rsidRPr="003C3E0D">
        <w:rPr>
          <w:rFonts w:ascii="仿宋" w:hAnsi="仿宋"/>
          <w:szCs w:val="32"/>
        </w:rPr>
        <w:t>省级简易注销程序仅适用于省级行业协会商会，市级简易注销程序涵盖全市性各类社会组织，包括社会团体、民办非企业单位、基金会等，适用范围更为广泛。二者不能简单等同，市级层面需要根据全市性社会组织的实际情况作出具体规定。</w:t>
      </w:r>
    </w:p>
    <w:p w14:paraId="50B1EE65" w14:textId="77777777" w:rsidR="003C3E0D" w:rsidRPr="003C3E0D" w:rsidRDefault="003C3E0D" w:rsidP="003C3E0D">
      <w:pPr>
        <w:pStyle w:val="3"/>
        <w:ind w:firstLine="640"/>
        <w:rPr>
          <w:rFonts w:hint="eastAsia"/>
        </w:rPr>
      </w:pPr>
      <w:r w:rsidRPr="003C3E0D">
        <w:t>（二）关于申请法院强制清算的启动主体</w:t>
      </w:r>
    </w:p>
    <w:p w14:paraId="55138051" w14:textId="77777777" w:rsidR="003C3E0D" w:rsidRPr="003C3E0D" w:rsidRDefault="003C3E0D" w:rsidP="003C3E0D">
      <w:pPr>
        <w:ind w:firstLineChars="200" w:firstLine="640"/>
        <w:rPr>
          <w:rFonts w:ascii="仿宋" w:hAnsi="仿宋" w:hint="eastAsia"/>
          <w:szCs w:val="32"/>
        </w:rPr>
      </w:pPr>
      <w:r w:rsidRPr="003C3E0D">
        <w:rPr>
          <w:rFonts w:ascii="仿宋" w:hAnsi="仿宋"/>
          <w:szCs w:val="32"/>
        </w:rPr>
        <w:t>根据2026年修订的《社会团体登记管理条例》第二十条，社会团体未及时履行清算义务的，业务主管单位、行业管理部门、登记管理机关或者利害关系人均可以依法申请人民法院指定有关人员组成清算组进行清算。因此，业务主管单位、登记管理机关、利害关系人均是法定的申请主体，并非只有业务主管单位</w:t>
      </w:r>
      <w:r w:rsidRPr="003C3E0D">
        <w:rPr>
          <w:rFonts w:ascii="仿宋" w:hAnsi="仿宋"/>
          <w:szCs w:val="32"/>
        </w:rPr>
        <w:lastRenderedPageBreak/>
        <w:t>可以申请。在具体操作中，业务主管单位对社团情况最为熟悉，往往是率先发现清算僵局并启动程序的合适主体，但这并不意味着登记管理机关负有主动判断和启动的义务。</w:t>
      </w:r>
    </w:p>
    <w:p w14:paraId="682E8548" w14:textId="77777777" w:rsidR="003C3E0D" w:rsidRPr="003C3E0D" w:rsidRDefault="003C3E0D" w:rsidP="003C3E0D">
      <w:pPr>
        <w:pStyle w:val="3"/>
        <w:ind w:firstLine="640"/>
        <w:rPr>
          <w:rFonts w:hint="eastAsia"/>
        </w:rPr>
      </w:pPr>
      <w:r w:rsidRPr="003C3E0D">
        <w:t>（三）关于简易注销程序中各方的职责定位</w:t>
      </w:r>
    </w:p>
    <w:p w14:paraId="5BBBFD89" w14:textId="77777777" w:rsidR="003C3E0D" w:rsidRPr="003C3E0D" w:rsidRDefault="003C3E0D" w:rsidP="003C3E0D">
      <w:pPr>
        <w:ind w:firstLineChars="200" w:firstLine="640"/>
        <w:rPr>
          <w:rFonts w:ascii="仿宋" w:hAnsi="仿宋" w:hint="eastAsia"/>
          <w:szCs w:val="32"/>
        </w:rPr>
      </w:pPr>
      <w:r w:rsidRPr="003C3E0D">
        <w:rPr>
          <w:rFonts w:ascii="仿宋" w:hAnsi="仿宋"/>
          <w:szCs w:val="32"/>
        </w:rPr>
        <w:t>社会组织的职责是如实提供所需材料，并承担法律责任。业务主管单位（行业管理部门）的职责是主动推动和帮助完成注销，并承担相应法律责任；负责社会组织注销登记前的审查，会同有关机关指导社会组织注销前的清算事宜。在简易注销程序中，社会组织是否符合适用条件、是否可启动简易注销，需要业务主管单位（行业管理部门）作出具体判定。例如，社会组织提交无法组织召开会员（代表）大会或者理事会的请示，需报请业务主管单位（行业管理部门）同意后方可启动后续程序。登记管理机关的职责是依法审慎办理简易注销，对采取隐瞒、骗取简易注销的进行相应处置，负责对提交材料的形式审查和注销登记的最终审批，而非对具体情形的实质判断。</w:t>
      </w:r>
    </w:p>
    <w:p w14:paraId="55FA5D90" w14:textId="77777777" w:rsidR="003C3E0D" w:rsidRPr="003C3E0D" w:rsidRDefault="003C3E0D" w:rsidP="003C3E0D">
      <w:pPr>
        <w:pStyle w:val="3"/>
        <w:ind w:firstLine="640"/>
        <w:rPr>
          <w:rFonts w:hint="eastAsia"/>
        </w:rPr>
      </w:pPr>
      <w:r w:rsidRPr="003C3E0D">
        <w:t>（四）关于登记管理机关无法直接判断是否适用简易注销程序</w:t>
      </w:r>
    </w:p>
    <w:p w14:paraId="00E453A1" w14:textId="77777777" w:rsidR="003C3E0D" w:rsidRPr="003C3E0D" w:rsidRDefault="003C3E0D" w:rsidP="003C3E0D">
      <w:pPr>
        <w:ind w:firstLineChars="200" w:firstLine="640"/>
        <w:rPr>
          <w:rFonts w:ascii="仿宋" w:hAnsi="仿宋" w:hint="eastAsia"/>
          <w:szCs w:val="32"/>
        </w:rPr>
      </w:pPr>
      <w:r w:rsidRPr="003C3E0D">
        <w:rPr>
          <w:rFonts w:ascii="仿宋" w:hAnsi="仿宋"/>
          <w:szCs w:val="32"/>
        </w:rPr>
        <w:t>在简易注销程序中，登记管理机关确实难以对每个社会组织的内部治理状况、会员联系情况、债权债务实际状况等作出具体判断。第一，信息不对称。登记管理机关不掌握社会组织的日常运营细节，不了解其会员（理事）的具体联络情况、内部矛盾等实际情况，这些信息只有业务主管单位和社会组织自身才最为</w:t>
      </w:r>
      <w:r w:rsidRPr="003C3E0D">
        <w:rPr>
          <w:rFonts w:ascii="仿宋" w:hAnsi="仿宋"/>
          <w:szCs w:val="32"/>
        </w:rPr>
        <w:lastRenderedPageBreak/>
        <w:t>清楚。第二，职责定位不同。业务主管单位承担的是“审查”职责，需要对申请注销的事实和条件进行实质性审核；登记管理机关承担的是“登记”职责，主要负责对提交材料的完备性、合规性进行审核并作出行政许可决定。第三，简易注销的前提条件需要专业判断。如“无法取得联系的会员（理事）数量较多”“成立后从未开展业务活动”“没有债权债务”等情形，均需要结合社会组织的实际情况进行具体认定，这一认定工作应由最了解情况的业务主管单位负责。</w:t>
      </w:r>
    </w:p>
    <w:p w14:paraId="5268F3B2" w14:textId="77777777" w:rsidR="003C3E0D" w:rsidRPr="003C3E0D" w:rsidRDefault="003C3E0D" w:rsidP="003C3E0D">
      <w:pPr>
        <w:ind w:firstLineChars="200" w:firstLine="640"/>
        <w:rPr>
          <w:rStyle w:val="30"/>
          <w:rFonts w:hint="eastAsia"/>
        </w:rPr>
      </w:pPr>
      <w:r w:rsidRPr="003C3E0D">
        <w:rPr>
          <w:rStyle w:val="30"/>
        </w:rPr>
        <w:t>（五）关于职责落实</w:t>
      </w:r>
    </w:p>
    <w:p w14:paraId="1F59D3F3" w14:textId="77777777" w:rsidR="003C3E0D" w:rsidRPr="003C3E0D" w:rsidRDefault="003C3E0D" w:rsidP="003C3E0D">
      <w:pPr>
        <w:ind w:firstLineChars="200" w:firstLine="640"/>
        <w:rPr>
          <w:rFonts w:ascii="仿宋" w:hAnsi="仿宋" w:hint="eastAsia"/>
          <w:szCs w:val="32"/>
        </w:rPr>
      </w:pPr>
      <w:r w:rsidRPr="003C3E0D">
        <w:rPr>
          <w:rFonts w:ascii="仿宋" w:hAnsi="仿宋"/>
          <w:szCs w:val="32"/>
        </w:rPr>
        <w:t>综上所述，社会组织简易注销程序中，是否符合适用条件、是否可启动简易注销，应由业务主管单位（行业管理部门）在充分了解社会组织实际情况的基础上作出具体判定。登记管理机关的职责是依法受理申请、审查材料完备性、作出注销登记决定，不宜也无法替代业务主管单位对社会组织具体情形进行实质判断。各业务主管单位（行业管理部门）应切实履行法定职责，对管辖的社会组织逐一梳理、研判，对符合简易注销条件的，积极指导其按程序办理；对不符合条件的，引导其通过一般程序或其他合法途径退出。</w:t>
      </w:r>
    </w:p>
    <w:p w14:paraId="6631627F" w14:textId="77777777" w:rsidR="00AE4158" w:rsidRPr="003C3E0D" w:rsidRDefault="00AE4158" w:rsidP="003C3E0D">
      <w:pPr>
        <w:rPr>
          <w:rFonts w:ascii="仿宋" w:hAnsi="仿宋" w:hint="eastAsia"/>
          <w:szCs w:val="32"/>
        </w:rPr>
      </w:pPr>
    </w:p>
    <w:sectPr w:rsidR="00AE4158" w:rsidRPr="003C3E0D" w:rsidSect="00D360F3">
      <w:pgSz w:w="11906" w:h="16838" w:code="9"/>
      <w:pgMar w:top="2098" w:right="1418" w:bottom="1985" w:left="1531" w:header="851" w:footer="992" w:gutter="0"/>
      <w:cols w:space="425"/>
      <w:docGrid w:type="linesAndChars" w:linePitch="579" w:charSpace="-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D84B2" w14:textId="77777777" w:rsidR="00E13400" w:rsidRDefault="00E13400" w:rsidP="003C3E0D">
      <w:pPr>
        <w:rPr>
          <w:rFonts w:hint="eastAsia"/>
        </w:rPr>
      </w:pPr>
      <w:r>
        <w:separator/>
      </w:r>
    </w:p>
  </w:endnote>
  <w:endnote w:type="continuationSeparator" w:id="0">
    <w:p w14:paraId="289DE389" w14:textId="77777777" w:rsidR="00E13400" w:rsidRDefault="00E13400" w:rsidP="003C3E0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方正小标宋简体">
    <w:panose1 w:val="02010601030101010101"/>
    <w:charset w:val="86"/>
    <w:family w:val="auto"/>
    <w:pitch w:val="variable"/>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3E152" w14:textId="77777777" w:rsidR="00E13400" w:rsidRDefault="00E13400" w:rsidP="003C3E0D">
      <w:pPr>
        <w:rPr>
          <w:rFonts w:hint="eastAsia"/>
        </w:rPr>
      </w:pPr>
      <w:r>
        <w:separator/>
      </w:r>
    </w:p>
  </w:footnote>
  <w:footnote w:type="continuationSeparator" w:id="0">
    <w:p w14:paraId="06617DAD" w14:textId="77777777" w:rsidR="00E13400" w:rsidRDefault="00E13400" w:rsidP="003C3E0D">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1E492D"/>
    <w:multiLevelType w:val="multilevel"/>
    <w:tmpl w:val="FD02F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983543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60"/>
  <w:drawingGridVerticalSpacing w:val="579"/>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2F2"/>
    <w:rsid w:val="0000656A"/>
    <w:rsid w:val="00071627"/>
    <w:rsid w:val="00227C23"/>
    <w:rsid w:val="00357DD4"/>
    <w:rsid w:val="003C3E0D"/>
    <w:rsid w:val="005122F2"/>
    <w:rsid w:val="00525CD6"/>
    <w:rsid w:val="00532FA3"/>
    <w:rsid w:val="006725BC"/>
    <w:rsid w:val="008910C9"/>
    <w:rsid w:val="00A80931"/>
    <w:rsid w:val="00AE4158"/>
    <w:rsid w:val="00AE7B04"/>
    <w:rsid w:val="00B11D1E"/>
    <w:rsid w:val="00D02D7F"/>
    <w:rsid w:val="00D360F3"/>
    <w:rsid w:val="00E1340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787F5D"/>
  <w15:chartTrackingRefBased/>
  <w15:docId w15:val="{E9C1753C-B9D4-4348-A336-F906E34CA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仿宋" w:hAnsiTheme="minorHAnsi" w:cstheme="minorBidi"/>
        <w:kern w:val="2"/>
        <w:sz w:val="32"/>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C3E0D"/>
    <w:pPr>
      <w:keepNext/>
      <w:keepLines/>
      <w:snapToGrid w:val="0"/>
      <w:jc w:val="center"/>
      <w:outlineLvl w:val="0"/>
    </w:pPr>
    <w:rPr>
      <w:rFonts w:asciiTheme="majorHAnsi" w:eastAsia="方正小标宋简体" w:hAnsiTheme="majorHAnsi" w:cstheme="majorBidi"/>
      <w:sz w:val="44"/>
      <w:szCs w:val="48"/>
    </w:rPr>
  </w:style>
  <w:style w:type="paragraph" w:styleId="2">
    <w:name w:val="heading 2"/>
    <w:basedOn w:val="a"/>
    <w:next w:val="a"/>
    <w:link w:val="20"/>
    <w:uiPriority w:val="9"/>
    <w:unhideWhenUsed/>
    <w:qFormat/>
    <w:rsid w:val="003C3E0D"/>
    <w:pPr>
      <w:keepNext/>
      <w:keepLines/>
      <w:outlineLvl w:val="1"/>
    </w:pPr>
    <w:rPr>
      <w:rFonts w:asciiTheme="majorHAnsi" w:eastAsia="黑体" w:hAnsiTheme="majorHAnsi" w:cstheme="majorBidi"/>
      <w:szCs w:val="40"/>
    </w:rPr>
  </w:style>
  <w:style w:type="paragraph" w:styleId="3">
    <w:name w:val="heading 3"/>
    <w:basedOn w:val="a"/>
    <w:next w:val="a"/>
    <w:link w:val="30"/>
    <w:uiPriority w:val="9"/>
    <w:unhideWhenUsed/>
    <w:qFormat/>
    <w:rsid w:val="003C3E0D"/>
    <w:pPr>
      <w:keepNext/>
      <w:keepLines/>
      <w:ind w:firstLineChars="200" w:firstLine="200"/>
      <w:outlineLvl w:val="2"/>
    </w:pPr>
    <w:rPr>
      <w:rFonts w:asciiTheme="majorHAnsi" w:eastAsia="楷体" w:hAnsiTheme="majorHAnsi" w:cstheme="majorBidi"/>
      <w:szCs w:val="32"/>
    </w:rPr>
  </w:style>
  <w:style w:type="paragraph" w:styleId="4">
    <w:name w:val="heading 4"/>
    <w:basedOn w:val="a"/>
    <w:next w:val="a"/>
    <w:link w:val="40"/>
    <w:uiPriority w:val="9"/>
    <w:semiHidden/>
    <w:unhideWhenUsed/>
    <w:qFormat/>
    <w:rsid w:val="005122F2"/>
    <w:pPr>
      <w:keepNext/>
      <w:keepLines/>
      <w:spacing w:before="80" w:after="40"/>
      <w:outlineLvl w:val="3"/>
    </w:pPr>
    <w:rPr>
      <w:rFonts w:eastAsiaTheme="minorEastAsia" w:cstheme="majorBidi"/>
      <w:color w:val="0F4761" w:themeColor="accent1" w:themeShade="BF"/>
      <w:sz w:val="28"/>
      <w:szCs w:val="28"/>
    </w:rPr>
  </w:style>
  <w:style w:type="paragraph" w:styleId="5">
    <w:name w:val="heading 5"/>
    <w:basedOn w:val="a"/>
    <w:next w:val="a"/>
    <w:link w:val="50"/>
    <w:uiPriority w:val="9"/>
    <w:semiHidden/>
    <w:unhideWhenUsed/>
    <w:qFormat/>
    <w:rsid w:val="005122F2"/>
    <w:pPr>
      <w:keepNext/>
      <w:keepLines/>
      <w:spacing w:before="80" w:after="40"/>
      <w:outlineLvl w:val="4"/>
    </w:pPr>
    <w:rPr>
      <w:rFonts w:eastAsiaTheme="minorEastAsia" w:cstheme="majorBidi"/>
      <w:color w:val="0F4761" w:themeColor="accent1" w:themeShade="BF"/>
      <w:sz w:val="24"/>
    </w:rPr>
  </w:style>
  <w:style w:type="paragraph" w:styleId="6">
    <w:name w:val="heading 6"/>
    <w:basedOn w:val="a"/>
    <w:next w:val="a"/>
    <w:link w:val="60"/>
    <w:uiPriority w:val="9"/>
    <w:semiHidden/>
    <w:unhideWhenUsed/>
    <w:qFormat/>
    <w:rsid w:val="005122F2"/>
    <w:pPr>
      <w:keepNext/>
      <w:keepLines/>
      <w:spacing w:before="40"/>
      <w:outlineLvl w:val="5"/>
    </w:pPr>
    <w:rPr>
      <w:rFonts w:eastAsiaTheme="minorEastAsia" w:cstheme="majorBidi"/>
      <w:b/>
      <w:bCs/>
      <w:color w:val="0F4761" w:themeColor="accent1" w:themeShade="BF"/>
    </w:rPr>
  </w:style>
  <w:style w:type="paragraph" w:styleId="7">
    <w:name w:val="heading 7"/>
    <w:basedOn w:val="a"/>
    <w:next w:val="a"/>
    <w:link w:val="70"/>
    <w:uiPriority w:val="9"/>
    <w:semiHidden/>
    <w:unhideWhenUsed/>
    <w:qFormat/>
    <w:rsid w:val="005122F2"/>
    <w:pPr>
      <w:keepNext/>
      <w:keepLines/>
      <w:spacing w:before="40"/>
      <w:outlineLvl w:val="6"/>
    </w:pPr>
    <w:rPr>
      <w:rFonts w:eastAsiaTheme="minorEastAsia" w:cstheme="majorBidi"/>
      <w:b/>
      <w:bCs/>
      <w:color w:val="595959" w:themeColor="text1" w:themeTint="A6"/>
    </w:rPr>
  </w:style>
  <w:style w:type="paragraph" w:styleId="8">
    <w:name w:val="heading 8"/>
    <w:basedOn w:val="a"/>
    <w:next w:val="a"/>
    <w:link w:val="80"/>
    <w:uiPriority w:val="9"/>
    <w:semiHidden/>
    <w:unhideWhenUsed/>
    <w:qFormat/>
    <w:rsid w:val="005122F2"/>
    <w:pPr>
      <w:keepNext/>
      <w:keepLines/>
      <w:outlineLvl w:val="7"/>
    </w:pPr>
    <w:rPr>
      <w:rFonts w:eastAsiaTheme="minorEastAsia" w:cstheme="majorBidi"/>
      <w:color w:val="595959" w:themeColor="text1" w:themeTint="A6"/>
    </w:rPr>
  </w:style>
  <w:style w:type="paragraph" w:styleId="9">
    <w:name w:val="heading 9"/>
    <w:basedOn w:val="a"/>
    <w:next w:val="a"/>
    <w:link w:val="90"/>
    <w:uiPriority w:val="9"/>
    <w:semiHidden/>
    <w:unhideWhenUsed/>
    <w:qFormat/>
    <w:rsid w:val="005122F2"/>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C3E0D"/>
    <w:rPr>
      <w:rFonts w:asciiTheme="majorHAnsi" w:eastAsia="方正小标宋简体" w:hAnsiTheme="majorHAnsi" w:cstheme="majorBidi"/>
      <w:sz w:val="44"/>
      <w:szCs w:val="48"/>
    </w:rPr>
  </w:style>
  <w:style w:type="character" w:customStyle="1" w:styleId="20">
    <w:name w:val="标题 2 字符"/>
    <w:basedOn w:val="a0"/>
    <w:link w:val="2"/>
    <w:uiPriority w:val="9"/>
    <w:rsid w:val="003C3E0D"/>
    <w:rPr>
      <w:rFonts w:asciiTheme="majorHAnsi" w:eastAsia="黑体" w:hAnsiTheme="majorHAnsi" w:cstheme="majorBidi"/>
      <w:szCs w:val="40"/>
    </w:rPr>
  </w:style>
  <w:style w:type="character" w:customStyle="1" w:styleId="30">
    <w:name w:val="标题 3 字符"/>
    <w:basedOn w:val="a0"/>
    <w:link w:val="3"/>
    <w:uiPriority w:val="9"/>
    <w:rsid w:val="003C3E0D"/>
    <w:rPr>
      <w:rFonts w:asciiTheme="majorHAnsi" w:eastAsia="楷体" w:hAnsiTheme="majorHAnsi" w:cstheme="majorBidi"/>
      <w:szCs w:val="32"/>
    </w:rPr>
  </w:style>
  <w:style w:type="character" w:customStyle="1" w:styleId="40">
    <w:name w:val="标题 4 字符"/>
    <w:basedOn w:val="a0"/>
    <w:link w:val="4"/>
    <w:uiPriority w:val="9"/>
    <w:semiHidden/>
    <w:rsid w:val="005122F2"/>
    <w:rPr>
      <w:rFonts w:eastAsiaTheme="minorEastAsia" w:cstheme="majorBidi"/>
      <w:color w:val="0F4761" w:themeColor="accent1" w:themeShade="BF"/>
      <w:sz w:val="28"/>
      <w:szCs w:val="28"/>
    </w:rPr>
  </w:style>
  <w:style w:type="character" w:customStyle="1" w:styleId="50">
    <w:name w:val="标题 5 字符"/>
    <w:basedOn w:val="a0"/>
    <w:link w:val="5"/>
    <w:uiPriority w:val="9"/>
    <w:semiHidden/>
    <w:rsid w:val="005122F2"/>
    <w:rPr>
      <w:rFonts w:eastAsiaTheme="minorEastAsia" w:cstheme="majorBidi"/>
      <w:color w:val="0F4761" w:themeColor="accent1" w:themeShade="BF"/>
      <w:sz w:val="24"/>
    </w:rPr>
  </w:style>
  <w:style w:type="character" w:customStyle="1" w:styleId="60">
    <w:name w:val="标题 6 字符"/>
    <w:basedOn w:val="a0"/>
    <w:link w:val="6"/>
    <w:uiPriority w:val="9"/>
    <w:semiHidden/>
    <w:rsid w:val="005122F2"/>
    <w:rPr>
      <w:rFonts w:eastAsiaTheme="minorEastAsia" w:cstheme="majorBidi"/>
      <w:b/>
      <w:bCs/>
      <w:color w:val="0F4761" w:themeColor="accent1" w:themeShade="BF"/>
    </w:rPr>
  </w:style>
  <w:style w:type="character" w:customStyle="1" w:styleId="70">
    <w:name w:val="标题 7 字符"/>
    <w:basedOn w:val="a0"/>
    <w:link w:val="7"/>
    <w:uiPriority w:val="9"/>
    <w:semiHidden/>
    <w:rsid w:val="005122F2"/>
    <w:rPr>
      <w:rFonts w:eastAsiaTheme="minorEastAsia" w:cstheme="majorBidi"/>
      <w:b/>
      <w:bCs/>
      <w:color w:val="595959" w:themeColor="text1" w:themeTint="A6"/>
    </w:rPr>
  </w:style>
  <w:style w:type="character" w:customStyle="1" w:styleId="80">
    <w:name w:val="标题 8 字符"/>
    <w:basedOn w:val="a0"/>
    <w:link w:val="8"/>
    <w:uiPriority w:val="9"/>
    <w:semiHidden/>
    <w:rsid w:val="005122F2"/>
    <w:rPr>
      <w:rFonts w:eastAsiaTheme="minorEastAsia" w:cstheme="majorBidi"/>
      <w:color w:val="595959" w:themeColor="text1" w:themeTint="A6"/>
    </w:rPr>
  </w:style>
  <w:style w:type="character" w:customStyle="1" w:styleId="90">
    <w:name w:val="标题 9 字符"/>
    <w:basedOn w:val="a0"/>
    <w:link w:val="9"/>
    <w:uiPriority w:val="9"/>
    <w:semiHidden/>
    <w:rsid w:val="005122F2"/>
    <w:rPr>
      <w:rFonts w:eastAsiaTheme="majorEastAsia" w:cstheme="majorBidi"/>
      <w:color w:val="595959" w:themeColor="text1" w:themeTint="A6"/>
    </w:rPr>
  </w:style>
  <w:style w:type="paragraph" w:styleId="a3">
    <w:name w:val="Title"/>
    <w:basedOn w:val="a"/>
    <w:next w:val="a"/>
    <w:link w:val="a4"/>
    <w:uiPriority w:val="10"/>
    <w:qFormat/>
    <w:rsid w:val="005122F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5122F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122F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5122F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122F2"/>
    <w:pPr>
      <w:spacing w:before="160" w:after="160"/>
      <w:jc w:val="center"/>
    </w:pPr>
    <w:rPr>
      <w:i/>
      <w:iCs/>
      <w:color w:val="404040" w:themeColor="text1" w:themeTint="BF"/>
    </w:rPr>
  </w:style>
  <w:style w:type="character" w:customStyle="1" w:styleId="a8">
    <w:name w:val="引用 字符"/>
    <w:basedOn w:val="a0"/>
    <w:link w:val="a7"/>
    <w:uiPriority w:val="29"/>
    <w:rsid w:val="005122F2"/>
    <w:rPr>
      <w:i/>
      <w:iCs/>
      <w:color w:val="404040" w:themeColor="text1" w:themeTint="BF"/>
    </w:rPr>
  </w:style>
  <w:style w:type="paragraph" w:styleId="a9">
    <w:name w:val="List Paragraph"/>
    <w:basedOn w:val="a"/>
    <w:uiPriority w:val="34"/>
    <w:qFormat/>
    <w:rsid w:val="005122F2"/>
    <w:pPr>
      <w:ind w:left="720"/>
      <w:contextualSpacing/>
    </w:pPr>
  </w:style>
  <w:style w:type="character" w:styleId="aa">
    <w:name w:val="Intense Emphasis"/>
    <w:basedOn w:val="a0"/>
    <w:uiPriority w:val="21"/>
    <w:qFormat/>
    <w:rsid w:val="005122F2"/>
    <w:rPr>
      <w:i/>
      <w:iCs/>
      <w:color w:val="0F4761" w:themeColor="accent1" w:themeShade="BF"/>
    </w:rPr>
  </w:style>
  <w:style w:type="paragraph" w:styleId="ab">
    <w:name w:val="Intense Quote"/>
    <w:basedOn w:val="a"/>
    <w:next w:val="a"/>
    <w:link w:val="ac"/>
    <w:uiPriority w:val="30"/>
    <w:qFormat/>
    <w:rsid w:val="005122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5122F2"/>
    <w:rPr>
      <w:i/>
      <w:iCs/>
      <w:color w:val="0F4761" w:themeColor="accent1" w:themeShade="BF"/>
    </w:rPr>
  </w:style>
  <w:style w:type="character" w:styleId="ad">
    <w:name w:val="Intense Reference"/>
    <w:basedOn w:val="a0"/>
    <w:uiPriority w:val="32"/>
    <w:qFormat/>
    <w:rsid w:val="005122F2"/>
    <w:rPr>
      <w:b/>
      <w:bCs/>
      <w:smallCaps/>
      <w:color w:val="0F4761" w:themeColor="accent1" w:themeShade="BF"/>
      <w:spacing w:val="5"/>
    </w:rPr>
  </w:style>
  <w:style w:type="paragraph" w:styleId="ae">
    <w:name w:val="header"/>
    <w:basedOn w:val="a"/>
    <w:link w:val="af"/>
    <w:uiPriority w:val="99"/>
    <w:unhideWhenUsed/>
    <w:rsid w:val="003C3E0D"/>
    <w:pPr>
      <w:tabs>
        <w:tab w:val="center" w:pos="4153"/>
        <w:tab w:val="right" w:pos="8306"/>
      </w:tabs>
      <w:snapToGrid w:val="0"/>
      <w:jc w:val="center"/>
    </w:pPr>
    <w:rPr>
      <w:sz w:val="18"/>
      <w:szCs w:val="18"/>
    </w:rPr>
  </w:style>
  <w:style w:type="character" w:customStyle="1" w:styleId="af">
    <w:name w:val="页眉 字符"/>
    <w:basedOn w:val="a0"/>
    <w:link w:val="ae"/>
    <w:uiPriority w:val="99"/>
    <w:rsid w:val="003C3E0D"/>
    <w:rPr>
      <w:sz w:val="18"/>
      <w:szCs w:val="18"/>
    </w:rPr>
  </w:style>
  <w:style w:type="paragraph" w:styleId="af0">
    <w:name w:val="footer"/>
    <w:basedOn w:val="a"/>
    <w:link w:val="af1"/>
    <w:uiPriority w:val="99"/>
    <w:unhideWhenUsed/>
    <w:rsid w:val="003C3E0D"/>
    <w:pPr>
      <w:tabs>
        <w:tab w:val="center" w:pos="4153"/>
        <w:tab w:val="right" w:pos="8306"/>
      </w:tabs>
      <w:snapToGrid w:val="0"/>
    </w:pPr>
    <w:rPr>
      <w:sz w:val="18"/>
      <w:szCs w:val="18"/>
    </w:rPr>
  </w:style>
  <w:style w:type="character" w:customStyle="1" w:styleId="af1">
    <w:name w:val="页脚 字符"/>
    <w:basedOn w:val="a0"/>
    <w:link w:val="af0"/>
    <w:uiPriority w:val="99"/>
    <w:rsid w:val="003C3E0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0793863">
      <w:bodyDiv w:val="1"/>
      <w:marLeft w:val="0"/>
      <w:marRight w:val="0"/>
      <w:marTop w:val="0"/>
      <w:marBottom w:val="0"/>
      <w:divBdr>
        <w:top w:val="none" w:sz="0" w:space="0" w:color="auto"/>
        <w:left w:val="none" w:sz="0" w:space="0" w:color="auto"/>
        <w:bottom w:val="none" w:sz="0" w:space="0" w:color="auto"/>
        <w:right w:val="none" w:sz="0" w:space="0" w:color="auto"/>
      </w:divBdr>
    </w:div>
    <w:div w:id="1265184098">
      <w:bodyDiv w:val="1"/>
      <w:marLeft w:val="0"/>
      <w:marRight w:val="0"/>
      <w:marTop w:val="0"/>
      <w:marBottom w:val="0"/>
      <w:divBdr>
        <w:top w:val="none" w:sz="0" w:space="0" w:color="auto"/>
        <w:left w:val="none" w:sz="0" w:space="0" w:color="auto"/>
        <w:bottom w:val="none" w:sz="0" w:space="0" w:color="auto"/>
        <w:right w:val="none" w:sz="0" w:space="0" w:color="auto"/>
      </w:divBdr>
    </w:div>
    <w:div w:id="1412460276">
      <w:bodyDiv w:val="1"/>
      <w:marLeft w:val="0"/>
      <w:marRight w:val="0"/>
      <w:marTop w:val="0"/>
      <w:marBottom w:val="0"/>
      <w:divBdr>
        <w:top w:val="none" w:sz="0" w:space="0" w:color="auto"/>
        <w:left w:val="none" w:sz="0" w:space="0" w:color="auto"/>
        <w:bottom w:val="none" w:sz="0" w:space="0" w:color="auto"/>
        <w:right w:val="none" w:sz="0" w:space="0" w:color="auto"/>
      </w:divBdr>
    </w:div>
    <w:div w:id="2119596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618</Words>
  <Characters>3524</Characters>
  <Application>Microsoft Office Word</Application>
  <DocSecurity>0</DocSecurity>
  <Lines>29</Lines>
  <Paragraphs>8</Paragraphs>
  <ScaleCrop>false</ScaleCrop>
  <Company/>
  <LinksUpToDate>false</LinksUpToDate>
  <CharactersWithSpaces>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杰 熊</dc:creator>
  <cp:keywords/>
  <dc:description/>
  <cp:lastModifiedBy>杰 熊</cp:lastModifiedBy>
  <cp:revision>3</cp:revision>
  <dcterms:created xsi:type="dcterms:W3CDTF">2026-10-09T07:55:00Z</dcterms:created>
  <dcterms:modified xsi:type="dcterms:W3CDTF">2026-10-09T07:57:00Z</dcterms:modified>
</cp:coreProperties>
</file>